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黑体" w:eastAsia="方正小标宋简体"/>
          <w:sz w:val="34"/>
          <w:szCs w:val="34"/>
        </w:rPr>
      </w:pPr>
      <w:r>
        <w:rPr>
          <w:rFonts w:hint="eastAsia" w:ascii="方正小标宋简体" w:hAnsi="黑体" w:eastAsia="方正小标宋简体"/>
          <w:sz w:val="34"/>
          <w:szCs w:val="34"/>
        </w:rPr>
        <w:t>2023年度国家社科</w:t>
      </w:r>
      <w:r>
        <w:rPr>
          <w:rFonts w:ascii="方正小标宋简体" w:hAnsi="黑体" w:eastAsia="方正小标宋简体"/>
          <w:sz w:val="34"/>
          <w:szCs w:val="34"/>
        </w:rPr>
        <w:t>基金教育学</w:t>
      </w:r>
      <w:r>
        <w:rPr>
          <w:rFonts w:hint="eastAsia" w:ascii="方正小标宋简体" w:hAnsi="黑体" w:eastAsia="方正小标宋简体"/>
          <w:sz w:val="34"/>
          <w:szCs w:val="34"/>
        </w:rPr>
        <w:t>重大</w:t>
      </w:r>
      <w:r>
        <w:rPr>
          <w:rFonts w:hint="eastAsia" w:ascii="方正小标宋简体" w:hAnsi="黑体" w:eastAsia="方正小标宋简体"/>
          <w:sz w:val="34"/>
          <w:szCs w:val="34"/>
          <w:lang w:eastAsia="zh-CN"/>
        </w:rPr>
        <w:t>项目</w:t>
      </w:r>
      <w:r>
        <w:rPr>
          <w:rFonts w:hint="eastAsia" w:ascii="方正小标宋简体" w:hAnsi="黑体" w:eastAsia="方正小标宋简体"/>
          <w:sz w:val="34"/>
          <w:szCs w:val="34"/>
        </w:rPr>
        <w:t>招标指南</w:t>
      </w:r>
    </w:p>
    <w:p>
      <w:pPr>
        <w:spacing w:before="156" w:beforeLines="50" w:after="156" w:afterLines="50" w:line="600" w:lineRule="exact"/>
        <w:jc w:val="center"/>
        <w:rPr>
          <w:rFonts w:ascii="黑体" w:hAnsi="黑体" w:eastAsia="黑体" w:cs="黑体"/>
          <w:sz w:val="30"/>
          <w:szCs w:val="30"/>
        </w:rPr>
      </w:pPr>
    </w:p>
    <w:p>
      <w:pPr>
        <w:pStyle w:val="2"/>
        <w:ind w:firstLine="640" w:firstLineChars="200"/>
        <w:rPr>
          <w:rFonts w:ascii="仿宋_GB2312" w:hAnsi="楷体" w:eastAsia="仿宋_GB2312"/>
          <w:sz w:val="32"/>
          <w:szCs w:val="32"/>
        </w:rPr>
      </w:pPr>
      <w:r>
        <w:rPr>
          <w:rFonts w:hint="eastAsia" w:ascii="仿宋_GB2312" w:hAnsi="楷体" w:eastAsia="仿宋_GB2312"/>
          <w:sz w:val="32"/>
          <w:szCs w:val="32"/>
        </w:rPr>
        <w:t>本年度对国家社科基金教育学重大招标项目提供指南意图说明。</w:t>
      </w:r>
      <w:r>
        <w:rPr>
          <w:rFonts w:hint="eastAsia" w:ascii="仿宋_GB2312" w:hAnsi="楷体" w:eastAsia="仿宋_GB2312"/>
          <w:sz w:val="32"/>
          <w:szCs w:val="32"/>
          <w:lang w:eastAsia="zh-CN"/>
        </w:rPr>
        <w:t>投标人</w:t>
      </w:r>
      <w:r>
        <w:rPr>
          <w:rFonts w:hint="eastAsia" w:ascii="仿宋_GB2312" w:hAnsi="楷体" w:eastAsia="仿宋_GB2312"/>
          <w:sz w:val="32"/>
          <w:szCs w:val="32"/>
        </w:rPr>
        <w:t>应着力体现</w:t>
      </w:r>
      <w:r>
        <w:rPr>
          <w:rFonts w:hint="eastAsia" w:ascii="仿宋_GB2312" w:hAnsi="楷体" w:eastAsia="仿宋_GB2312"/>
          <w:sz w:val="32"/>
          <w:szCs w:val="32"/>
          <w:lang w:eastAsia="zh-CN"/>
        </w:rPr>
        <w:t>指南意图中的内容</w:t>
      </w:r>
      <w:r>
        <w:rPr>
          <w:rFonts w:hint="eastAsia" w:ascii="仿宋_GB2312" w:hAnsi="楷体" w:eastAsia="仿宋_GB2312"/>
          <w:sz w:val="32"/>
          <w:szCs w:val="32"/>
        </w:rPr>
        <w:t>，原则上不得大幅压缩。在此基础上，招标人可自主设计其它研究内容。项目一般应在2-5年完成，以“*”标注选题研究周期为2-3年，原则上不得延期。</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lang w:val="en-US" w:eastAsia="zh-CN"/>
        </w:rPr>
        <w:t>1.</w:t>
      </w:r>
      <w:r>
        <w:rPr>
          <w:rFonts w:hint="eastAsia" w:ascii="仿宋_GB2312" w:hAnsi="楷体" w:eastAsia="仿宋_GB2312"/>
          <w:b/>
          <w:bCs/>
          <w:sz w:val="32"/>
          <w:szCs w:val="32"/>
        </w:rPr>
        <w:t>习近平总书记关于教育重要论述的理论体系研究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重要论述的世界观和方法论;</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重要论述的生成与发展;</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重要论述的主要内容和逻辑关系;</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w:t>
      </w:r>
      <w:r>
        <w:rPr>
          <w:rFonts w:hint="eastAsia" w:ascii="仿宋_GB2312" w:hAnsi="楷体" w:eastAsia="仿宋_GB2312"/>
          <w:sz w:val="32"/>
          <w:szCs w:val="32"/>
          <w:lang w:eastAsia="zh-CN"/>
        </w:rPr>
        <w:t>）</w:t>
      </w:r>
      <w:r>
        <w:rPr>
          <w:rFonts w:hint="eastAsia" w:ascii="仿宋_GB2312" w:hAnsi="楷体" w:eastAsia="仿宋_GB2312"/>
          <w:sz w:val="32"/>
          <w:szCs w:val="32"/>
        </w:rPr>
        <w:t>重要论述体现的历史地位。</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2.</w:t>
      </w:r>
      <w:r>
        <w:rPr>
          <w:rFonts w:hint="eastAsia" w:ascii="仿宋_GB2312" w:hAnsi="楷体" w:eastAsia="仿宋_GB2312"/>
          <w:b/>
          <w:bCs/>
          <w:sz w:val="32"/>
          <w:szCs w:val="32"/>
        </w:rPr>
        <w:t>面向中国式现代化的教育强国发展战略研究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1</w:t>
      </w:r>
      <w:r>
        <w:rPr>
          <w:rFonts w:hint="eastAsia" w:ascii="仿宋_GB2312" w:hAnsi="楷体" w:eastAsia="仿宋_GB2312"/>
          <w:sz w:val="32"/>
          <w:szCs w:val="32"/>
          <w:lang w:eastAsia="zh-CN"/>
        </w:rPr>
        <w:t>）</w:t>
      </w:r>
      <w:r>
        <w:rPr>
          <w:rFonts w:hint="eastAsia" w:ascii="仿宋_GB2312" w:hAnsi="楷体" w:eastAsia="仿宋_GB2312"/>
          <w:sz w:val="32"/>
          <w:szCs w:val="32"/>
        </w:rPr>
        <w:t>中国教育发展的历史方位；</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2</w:t>
      </w:r>
      <w:r>
        <w:rPr>
          <w:rFonts w:hint="eastAsia" w:ascii="仿宋_GB2312" w:hAnsi="楷体" w:eastAsia="仿宋_GB2312"/>
          <w:sz w:val="32"/>
          <w:szCs w:val="32"/>
          <w:lang w:eastAsia="zh-CN"/>
        </w:rPr>
        <w:t>）</w:t>
      </w:r>
      <w:r>
        <w:rPr>
          <w:rFonts w:hint="eastAsia" w:ascii="仿宋_GB2312" w:hAnsi="楷体" w:eastAsia="仿宋_GB2312"/>
          <w:sz w:val="32"/>
          <w:szCs w:val="32"/>
        </w:rPr>
        <w:t>面向中国式现代化教育强国建设的目标体系；</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3</w:t>
      </w:r>
      <w:r>
        <w:rPr>
          <w:rFonts w:hint="eastAsia" w:ascii="仿宋_GB2312" w:hAnsi="楷体" w:eastAsia="仿宋_GB2312"/>
          <w:sz w:val="32"/>
          <w:szCs w:val="32"/>
          <w:lang w:eastAsia="zh-CN"/>
        </w:rPr>
        <w:t>）</w:t>
      </w:r>
      <w:r>
        <w:rPr>
          <w:rFonts w:hint="eastAsia" w:ascii="仿宋_GB2312" w:hAnsi="楷体" w:eastAsia="仿宋_GB2312"/>
          <w:sz w:val="32"/>
          <w:szCs w:val="32"/>
        </w:rPr>
        <w:t>教育强国建设的国际比较；</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w:t>
      </w:r>
      <w:r>
        <w:rPr>
          <w:rFonts w:hint="eastAsia" w:ascii="仿宋_GB2312" w:hAnsi="楷体" w:eastAsia="仿宋_GB2312"/>
          <w:sz w:val="32"/>
          <w:szCs w:val="32"/>
          <w:lang w:eastAsia="zh-CN"/>
        </w:rPr>
        <w:t>）</w:t>
      </w:r>
      <w:r>
        <w:rPr>
          <w:rFonts w:hint="eastAsia" w:ascii="仿宋_GB2312" w:hAnsi="楷体" w:eastAsia="仿宋_GB2312"/>
          <w:sz w:val="32"/>
          <w:szCs w:val="32"/>
        </w:rPr>
        <w:t>教育强国建设的路径与策略；</w:t>
      </w:r>
      <w:r>
        <w:rPr>
          <w:rFonts w:hint="eastAsia" w:ascii="仿宋_GB2312" w:hAnsi="楷体" w:eastAsia="仿宋_GB2312"/>
          <w:sz w:val="32"/>
          <w:szCs w:val="32"/>
          <w:lang w:eastAsia="zh-CN"/>
        </w:rPr>
        <w:t>（5）</w:t>
      </w:r>
      <w:r>
        <w:rPr>
          <w:rFonts w:hint="eastAsia" w:ascii="仿宋_GB2312" w:hAnsi="楷体" w:eastAsia="仿宋_GB2312"/>
          <w:sz w:val="32"/>
          <w:szCs w:val="32"/>
        </w:rPr>
        <w:t>教育强国建设的评价指标体系。</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3.</w:t>
      </w:r>
      <w:r>
        <w:rPr>
          <w:rFonts w:hint="eastAsia" w:ascii="仿宋_GB2312" w:hAnsi="楷体" w:eastAsia="仿宋_GB2312"/>
          <w:b/>
          <w:bCs/>
          <w:sz w:val="32"/>
          <w:szCs w:val="32"/>
        </w:rPr>
        <w:t>教育科技人才协同推进中国式现代化的机制与路径研究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教育、科技、人才协同推进中国式现代化的理论内涵；</w:t>
      </w:r>
      <w:r>
        <w:rPr>
          <w:rFonts w:hint="eastAsia" w:ascii="仿宋_GB2312" w:hAnsi="楷体" w:eastAsia="仿宋_GB2312"/>
          <w:sz w:val="32"/>
          <w:szCs w:val="32"/>
          <w:lang w:eastAsia="zh-CN"/>
        </w:rPr>
        <w:t>（2）</w:t>
      </w:r>
      <w:r>
        <w:rPr>
          <w:rFonts w:hint="eastAsia" w:ascii="仿宋_GB2312" w:hAnsi="楷体" w:eastAsia="仿宋_GB2312"/>
          <w:sz w:val="32"/>
          <w:szCs w:val="32"/>
        </w:rPr>
        <w:t>教育、科技、人才推进中国式现代化的协同机制；</w:t>
      </w:r>
      <w:r>
        <w:rPr>
          <w:rFonts w:hint="eastAsia" w:ascii="仿宋_GB2312" w:hAnsi="楷体" w:eastAsia="仿宋_GB2312"/>
          <w:sz w:val="32"/>
          <w:szCs w:val="32"/>
          <w:lang w:eastAsia="zh-CN"/>
        </w:rPr>
        <w:t>（3）</w:t>
      </w:r>
      <w:r>
        <w:rPr>
          <w:rFonts w:hint="eastAsia" w:ascii="仿宋_GB2312" w:hAnsi="楷体" w:eastAsia="仿宋_GB2312"/>
          <w:sz w:val="32"/>
          <w:szCs w:val="32"/>
        </w:rPr>
        <w:t>如何全面提高人才自主培养质</w:t>
      </w:r>
      <w:bookmarkStart w:id="1" w:name="_GoBack"/>
      <w:bookmarkEnd w:id="1"/>
      <w:r>
        <w:rPr>
          <w:rFonts w:hint="eastAsia" w:ascii="仿宋_GB2312" w:hAnsi="楷体" w:eastAsia="仿宋_GB2312"/>
          <w:sz w:val="32"/>
          <w:szCs w:val="32"/>
        </w:rPr>
        <w:t>量和着力造就拔尖创新人才。</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4.</w:t>
      </w:r>
      <w:r>
        <w:rPr>
          <w:rFonts w:hint="eastAsia" w:ascii="仿宋_GB2312" w:hAnsi="楷体" w:eastAsia="仿宋_GB2312"/>
          <w:b/>
          <w:bCs/>
          <w:sz w:val="32"/>
          <w:szCs w:val="32"/>
        </w:rPr>
        <w:t>适应人口发展趋势的区域教育结构优化与政策调整研究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bookmarkStart w:id="0" w:name="_Hlk129238564"/>
      <w:r>
        <w:rPr>
          <w:rFonts w:hint="eastAsia" w:ascii="仿宋_GB2312" w:hAnsi="楷体" w:eastAsia="仿宋_GB2312"/>
          <w:sz w:val="32"/>
          <w:szCs w:val="32"/>
          <w:lang w:eastAsia="zh-CN"/>
        </w:rPr>
        <w:t>（1）</w:t>
      </w:r>
      <w:r>
        <w:rPr>
          <w:rFonts w:hint="eastAsia" w:ascii="仿宋_GB2312" w:hAnsi="楷体" w:eastAsia="仿宋_GB2312"/>
          <w:sz w:val="32"/>
          <w:szCs w:val="32"/>
        </w:rPr>
        <w:t>我国区域学龄人口变化趋势</w:t>
      </w:r>
      <w:bookmarkEnd w:id="0"/>
      <w:r>
        <w:rPr>
          <w:rFonts w:hint="eastAsia" w:ascii="仿宋_GB2312" w:hAnsi="楷体" w:eastAsia="仿宋_GB2312"/>
          <w:sz w:val="32"/>
          <w:szCs w:val="32"/>
        </w:rPr>
        <w:t>；</w:t>
      </w:r>
      <w:r>
        <w:rPr>
          <w:rFonts w:hint="eastAsia" w:ascii="仿宋_GB2312" w:hAnsi="楷体" w:eastAsia="仿宋_GB2312"/>
          <w:sz w:val="32"/>
          <w:szCs w:val="32"/>
          <w:lang w:eastAsia="zh-CN"/>
        </w:rPr>
        <w:t>（2）</w:t>
      </w:r>
      <w:r>
        <w:rPr>
          <w:rFonts w:hint="eastAsia" w:ascii="仿宋_GB2312" w:hAnsi="楷体" w:eastAsia="仿宋_GB2312"/>
          <w:sz w:val="32"/>
          <w:szCs w:val="32"/>
        </w:rPr>
        <w:t>人口变化趋势对区域教育结构的挑战；</w:t>
      </w:r>
      <w:r>
        <w:rPr>
          <w:rFonts w:hint="eastAsia" w:ascii="仿宋_GB2312" w:hAnsi="楷体" w:eastAsia="仿宋_GB2312"/>
          <w:sz w:val="32"/>
          <w:szCs w:val="32"/>
          <w:lang w:eastAsia="zh-CN"/>
        </w:rPr>
        <w:t>（3）</w:t>
      </w:r>
      <w:r>
        <w:rPr>
          <w:rFonts w:hint="eastAsia" w:ascii="仿宋_GB2312" w:hAnsi="楷体" w:eastAsia="仿宋_GB2312"/>
          <w:sz w:val="32"/>
          <w:szCs w:val="32"/>
        </w:rPr>
        <w:t>基于人口变化趋势的区域教育政策调整。</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w:t>
      </w:r>
      <w:r>
        <w:rPr>
          <w:rFonts w:hint="eastAsia" w:ascii="仿宋_GB2312" w:hAnsi="楷体" w:eastAsia="仿宋_GB2312"/>
          <w:b/>
          <w:bCs/>
          <w:sz w:val="32"/>
          <w:szCs w:val="32"/>
          <w:lang w:val="en-US" w:eastAsia="zh-CN"/>
        </w:rPr>
        <w:t>5.</w:t>
      </w:r>
      <w:r>
        <w:rPr>
          <w:rFonts w:hint="eastAsia" w:ascii="仿宋_GB2312" w:hAnsi="楷体" w:eastAsia="仿宋_GB2312"/>
          <w:b/>
          <w:bCs/>
          <w:sz w:val="32"/>
          <w:szCs w:val="32"/>
        </w:rPr>
        <w:t>科技自立自强背景下高校有组织科研研究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高校有组织科研的内涵；</w:t>
      </w:r>
      <w:r>
        <w:rPr>
          <w:rFonts w:hint="eastAsia" w:ascii="仿宋_GB2312" w:hAnsi="楷体" w:eastAsia="仿宋_GB2312"/>
          <w:sz w:val="32"/>
          <w:szCs w:val="32"/>
          <w:lang w:eastAsia="zh-CN"/>
        </w:rPr>
        <w:t>（2）</w:t>
      </w:r>
      <w:r>
        <w:rPr>
          <w:rFonts w:hint="eastAsia" w:ascii="仿宋_GB2312" w:hAnsi="楷体" w:eastAsia="仿宋_GB2312"/>
          <w:sz w:val="32"/>
          <w:szCs w:val="32"/>
        </w:rPr>
        <w:t>高校有组织科研的组织架构、运行方式及体制机制研究；</w:t>
      </w:r>
      <w:r>
        <w:rPr>
          <w:rFonts w:hint="eastAsia" w:ascii="仿宋_GB2312" w:hAnsi="楷体" w:eastAsia="仿宋_GB2312"/>
          <w:sz w:val="32"/>
          <w:szCs w:val="32"/>
          <w:lang w:eastAsia="zh-CN"/>
        </w:rPr>
        <w:t>（3）</w:t>
      </w:r>
      <w:r>
        <w:rPr>
          <w:rFonts w:hint="eastAsia" w:ascii="仿宋_GB2312" w:hAnsi="楷体" w:eastAsia="仿宋_GB2312"/>
          <w:sz w:val="32"/>
          <w:szCs w:val="32"/>
        </w:rPr>
        <w:t>高校有组织科研的评价。</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6.中国式教育现代化的理论建构和实践探索研究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中国式教育现代化的内涵；</w:t>
      </w:r>
      <w:r>
        <w:rPr>
          <w:rFonts w:hint="eastAsia" w:ascii="仿宋_GB2312" w:hAnsi="楷体" w:eastAsia="仿宋_GB2312"/>
          <w:sz w:val="32"/>
          <w:szCs w:val="32"/>
          <w:lang w:eastAsia="zh-CN"/>
        </w:rPr>
        <w:t>（2）</w:t>
      </w:r>
      <w:r>
        <w:rPr>
          <w:rFonts w:hint="eastAsia" w:ascii="仿宋_GB2312" w:hAnsi="楷体" w:eastAsia="仿宋_GB2312"/>
          <w:sz w:val="32"/>
          <w:szCs w:val="32"/>
        </w:rPr>
        <w:t>中国式教育现代化的思想渊源、理论体系；</w:t>
      </w:r>
      <w:r>
        <w:rPr>
          <w:rFonts w:hint="eastAsia" w:ascii="仿宋_GB2312" w:hAnsi="楷体" w:eastAsia="仿宋_GB2312"/>
          <w:sz w:val="32"/>
          <w:szCs w:val="32"/>
          <w:lang w:eastAsia="zh-CN"/>
        </w:rPr>
        <w:t>（3）</w:t>
      </w:r>
      <w:r>
        <w:rPr>
          <w:rFonts w:hint="eastAsia" w:ascii="仿宋_GB2312" w:hAnsi="楷体" w:eastAsia="仿宋_GB2312"/>
          <w:sz w:val="32"/>
          <w:szCs w:val="32"/>
        </w:rPr>
        <w:t>中国式教育现代化的实践路径；</w:t>
      </w:r>
      <w:r>
        <w:rPr>
          <w:rFonts w:hint="eastAsia" w:ascii="仿宋_GB2312" w:hAnsi="楷体" w:eastAsia="仿宋_GB2312"/>
          <w:sz w:val="32"/>
          <w:szCs w:val="32"/>
          <w:lang w:eastAsia="zh-CN"/>
        </w:rPr>
        <w:t>（4）</w:t>
      </w:r>
      <w:r>
        <w:rPr>
          <w:rFonts w:hint="eastAsia" w:ascii="仿宋_GB2312" w:hAnsi="楷体" w:eastAsia="仿宋_GB2312"/>
          <w:sz w:val="32"/>
          <w:szCs w:val="32"/>
        </w:rPr>
        <w:t>中国式教育现代化的指标体系。</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*7.拔尖创新人才选拔与培养研究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 xml:space="preserve">指南意图：应研究 </w:t>
      </w:r>
      <w:r>
        <w:rPr>
          <w:rFonts w:hint="eastAsia" w:ascii="仿宋_GB2312" w:hAnsi="楷体" w:eastAsia="仿宋_GB2312"/>
          <w:sz w:val="32"/>
          <w:szCs w:val="32"/>
          <w:lang w:eastAsia="zh-CN"/>
        </w:rPr>
        <w:t>（1）</w:t>
      </w:r>
      <w:r>
        <w:rPr>
          <w:rFonts w:hint="eastAsia" w:ascii="仿宋_GB2312" w:hAnsi="楷体" w:eastAsia="仿宋_GB2312"/>
          <w:sz w:val="32"/>
          <w:szCs w:val="32"/>
        </w:rPr>
        <w:t>拔尖创新人才的选拔标准和方法；</w:t>
      </w:r>
      <w:r>
        <w:rPr>
          <w:rFonts w:hint="eastAsia" w:ascii="仿宋_GB2312" w:hAnsi="楷体" w:eastAsia="仿宋_GB2312"/>
          <w:sz w:val="32"/>
          <w:szCs w:val="32"/>
          <w:lang w:eastAsia="zh-CN"/>
        </w:rPr>
        <w:t>（2）</w:t>
      </w:r>
      <w:r>
        <w:rPr>
          <w:rFonts w:hint="eastAsia" w:ascii="仿宋_GB2312" w:hAnsi="楷体" w:eastAsia="仿宋_GB2312"/>
          <w:sz w:val="32"/>
          <w:szCs w:val="32"/>
        </w:rPr>
        <w:t>拔尖创新人才的高等教育与基础教育一体化培养的体制机制；</w:t>
      </w:r>
      <w:r>
        <w:rPr>
          <w:rFonts w:hint="eastAsia" w:ascii="仿宋_GB2312" w:hAnsi="楷体" w:eastAsia="仿宋_GB2312"/>
          <w:sz w:val="32"/>
          <w:szCs w:val="32"/>
          <w:lang w:eastAsia="zh-CN"/>
        </w:rPr>
        <w:t>（3）</w:t>
      </w:r>
      <w:r>
        <w:rPr>
          <w:rFonts w:hint="eastAsia" w:ascii="仿宋_GB2312" w:hAnsi="楷体" w:eastAsia="仿宋_GB2312"/>
          <w:sz w:val="32"/>
          <w:szCs w:val="32"/>
        </w:rPr>
        <w:t>拔尖创新人才的培养模式；</w:t>
      </w:r>
      <w:r>
        <w:rPr>
          <w:rFonts w:hint="eastAsia" w:ascii="仿宋_GB2312" w:hAnsi="楷体" w:eastAsia="仿宋_GB2312"/>
          <w:sz w:val="32"/>
          <w:szCs w:val="32"/>
          <w:lang w:eastAsia="zh-CN"/>
        </w:rPr>
        <w:t>（4）</w:t>
      </w:r>
      <w:r>
        <w:rPr>
          <w:rFonts w:hint="eastAsia" w:ascii="仿宋_GB2312" w:hAnsi="楷体" w:eastAsia="仿宋_GB2312"/>
          <w:sz w:val="32"/>
          <w:szCs w:val="32"/>
        </w:rPr>
        <w:t>拔尖创新人才评价制度；</w:t>
      </w:r>
      <w:r>
        <w:rPr>
          <w:rFonts w:hint="eastAsia" w:ascii="仿宋_GB2312" w:hAnsi="楷体" w:eastAsia="仿宋_GB2312"/>
          <w:sz w:val="32"/>
          <w:szCs w:val="32"/>
          <w:lang w:eastAsia="zh-CN"/>
        </w:rPr>
        <w:t>（5）</w:t>
      </w:r>
      <w:r>
        <w:rPr>
          <w:rFonts w:hint="eastAsia" w:ascii="仿宋_GB2312" w:hAnsi="楷体" w:eastAsia="仿宋_GB2312"/>
          <w:sz w:val="32"/>
          <w:szCs w:val="32"/>
        </w:rPr>
        <w:t>拔尖创新人才培养的国际比较。</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*8.中国特色高校评价体系的内涵与建构研究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中国特色高校评价的理论内涵、价值导向；</w:t>
      </w:r>
      <w:r>
        <w:rPr>
          <w:rFonts w:hint="eastAsia" w:ascii="仿宋_GB2312" w:hAnsi="楷体" w:eastAsia="仿宋_GB2312"/>
          <w:sz w:val="32"/>
          <w:szCs w:val="32"/>
          <w:lang w:eastAsia="zh-CN"/>
        </w:rPr>
        <w:t>（2）</w:t>
      </w:r>
      <w:r>
        <w:rPr>
          <w:rFonts w:hint="eastAsia" w:ascii="仿宋_GB2312" w:hAnsi="楷体" w:eastAsia="仿宋_GB2312"/>
          <w:sz w:val="32"/>
          <w:szCs w:val="32"/>
        </w:rPr>
        <w:t>中国特色高校分类评价；</w:t>
      </w:r>
      <w:r>
        <w:rPr>
          <w:rFonts w:hint="eastAsia" w:ascii="仿宋_GB2312" w:hAnsi="楷体" w:eastAsia="仿宋_GB2312"/>
          <w:sz w:val="32"/>
          <w:szCs w:val="32"/>
          <w:lang w:eastAsia="zh-CN"/>
        </w:rPr>
        <w:t>（3）</w:t>
      </w:r>
      <w:r>
        <w:rPr>
          <w:rFonts w:hint="eastAsia" w:ascii="仿宋_GB2312" w:hAnsi="楷体" w:eastAsia="仿宋_GB2312"/>
          <w:sz w:val="32"/>
          <w:szCs w:val="32"/>
        </w:rPr>
        <w:t>政府评价、高校内部评价与社会评价的完善。</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*9.高校与地方行业企业合作新机制研究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普通高校、职业院校与地方重点企业和行业产业部门合作的现状；</w:t>
      </w:r>
      <w:r>
        <w:rPr>
          <w:rFonts w:hint="eastAsia" w:ascii="仿宋_GB2312" w:hAnsi="楷体" w:eastAsia="仿宋_GB2312"/>
          <w:sz w:val="32"/>
          <w:szCs w:val="32"/>
          <w:lang w:eastAsia="zh-CN"/>
        </w:rPr>
        <w:t>（2）</w:t>
      </w:r>
      <w:r>
        <w:rPr>
          <w:rFonts w:hint="eastAsia" w:ascii="仿宋_GB2312" w:hAnsi="楷体" w:eastAsia="仿宋_GB2312"/>
          <w:sz w:val="32"/>
          <w:szCs w:val="32"/>
        </w:rPr>
        <w:t>普通高校、职业院校与地方重点企业和行业产业部门统筹融合发展的新框架；</w:t>
      </w:r>
      <w:r>
        <w:rPr>
          <w:rFonts w:hint="eastAsia" w:ascii="仿宋_GB2312" w:hAnsi="楷体" w:eastAsia="仿宋_GB2312"/>
          <w:sz w:val="32"/>
          <w:szCs w:val="32"/>
          <w:lang w:eastAsia="zh-CN"/>
        </w:rPr>
        <w:t>（3）</w:t>
      </w:r>
      <w:r>
        <w:rPr>
          <w:rFonts w:hint="eastAsia" w:ascii="仿宋_GB2312" w:hAnsi="楷体" w:eastAsia="仿宋_GB2312"/>
          <w:sz w:val="32"/>
          <w:szCs w:val="32"/>
        </w:rPr>
        <w:t>普通高校、职业院校与地方重点企业和行业产业部门合作的产学研协同创新机制；</w:t>
      </w:r>
      <w:r>
        <w:rPr>
          <w:rFonts w:hint="eastAsia" w:ascii="仿宋_GB2312" w:hAnsi="楷体" w:eastAsia="仿宋_GB2312"/>
          <w:sz w:val="32"/>
          <w:szCs w:val="32"/>
          <w:lang w:eastAsia="zh-CN"/>
        </w:rPr>
        <w:t>（4）</w:t>
      </w:r>
      <w:r>
        <w:rPr>
          <w:rFonts w:hint="eastAsia" w:ascii="仿宋_GB2312" w:hAnsi="楷体" w:eastAsia="仿宋_GB2312"/>
          <w:sz w:val="32"/>
          <w:szCs w:val="32"/>
        </w:rPr>
        <w:t>普通高校、职业院校与地方重点企业和行业产业部门合作的典型案例。</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*10.青少年心理问题早期筛查评估和分级干预研究</w:t>
      </w:r>
    </w:p>
    <w:p>
      <w:pPr>
        <w:ind w:firstLine="640" w:firstLineChars="200"/>
        <w:rPr>
          <w:rFonts w:ascii="仿宋_GB2312" w:hAnsi="楷体" w:eastAsia="仿宋_GB2312"/>
          <w:sz w:val="32"/>
          <w:szCs w:val="32"/>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青少年心理问题的时代特征；</w:t>
      </w:r>
      <w:r>
        <w:rPr>
          <w:rFonts w:hint="eastAsia" w:ascii="仿宋_GB2312" w:hAnsi="楷体" w:eastAsia="仿宋_GB2312"/>
          <w:sz w:val="32"/>
          <w:szCs w:val="32"/>
          <w:lang w:eastAsia="zh-CN"/>
        </w:rPr>
        <w:t>（2）</w:t>
      </w:r>
      <w:r>
        <w:rPr>
          <w:rFonts w:hint="eastAsia" w:ascii="仿宋_GB2312" w:hAnsi="楷体" w:eastAsia="仿宋_GB2312"/>
          <w:sz w:val="32"/>
          <w:szCs w:val="32"/>
        </w:rPr>
        <w:t>青少年心理问题早期筛查评估指标体系与评估标准；</w:t>
      </w:r>
      <w:r>
        <w:rPr>
          <w:rFonts w:hint="eastAsia" w:ascii="仿宋_GB2312" w:hAnsi="楷体" w:eastAsia="仿宋_GB2312"/>
          <w:sz w:val="32"/>
          <w:szCs w:val="32"/>
          <w:lang w:eastAsia="zh-CN"/>
        </w:rPr>
        <w:t>（3）</w:t>
      </w:r>
      <w:r>
        <w:rPr>
          <w:rFonts w:hint="eastAsia" w:ascii="仿宋_GB2312" w:hAnsi="楷体" w:eastAsia="仿宋_GB2312"/>
          <w:sz w:val="32"/>
          <w:szCs w:val="32"/>
        </w:rPr>
        <w:t>青少年心理问题早期筛查评估方法；</w:t>
      </w:r>
      <w:r>
        <w:rPr>
          <w:rFonts w:hint="eastAsia" w:ascii="仿宋_GB2312" w:hAnsi="楷体" w:eastAsia="仿宋_GB2312"/>
          <w:sz w:val="32"/>
          <w:szCs w:val="32"/>
          <w:lang w:eastAsia="zh-CN"/>
        </w:rPr>
        <w:t>（4）</w:t>
      </w:r>
      <w:r>
        <w:rPr>
          <w:rFonts w:hint="eastAsia" w:ascii="仿宋_GB2312" w:hAnsi="楷体" w:eastAsia="仿宋_GB2312"/>
          <w:sz w:val="32"/>
          <w:szCs w:val="32"/>
        </w:rPr>
        <w:t>青少年心理问题早期预警和分级干预体系；</w:t>
      </w:r>
      <w:r>
        <w:rPr>
          <w:rFonts w:hint="eastAsia" w:ascii="仿宋_GB2312" w:hAnsi="楷体" w:eastAsia="仿宋_GB2312"/>
          <w:sz w:val="32"/>
          <w:szCs w:val="32"/>
          <w:lang w:eastAsia="zh-CN"/>
        </w:rPr>
        <w:t>（5）</w:t>
      </w:r>
      <w:r>
        <w:rPr>
          <w:rFonts w:hint="eastAsia" w:ascii="仿宋_GB2312" w:hAnsi="楷体" w:eastAsia="仿宋_GB2312"/>
          <w:sz w:val="32"/>
          <w:szCs w:val="32"/>
        </w:rPr>
        <w:t xml:space="preserve">家校合作、医教结合等干预模式。 </w:t>
      </w:r>
    </w:p>
    <w:p>
      <w:pPr>
        <w:ind w:firstLine="643" w:firstLineChars="200"/>
        <w:rPr>
          <w:rFonts w:ascii="仿宋_GB2312" w:hAnsi="楷体" w:eastAsia="仿宋_GB2312"/>
          <w:b/>
          <w:bCs/>
          <w:color w:val="auto"/>
          <w:sz w:val="32"/>
          <w:szCs w:val="32"/>
        </w:rPr>
      </w:pPr>
      <w:r>
        <w:rPr>
          <w:rFonts w:hint="eastAsia" w:ascii="仿宋_GB2312" w:hAnsi="楷体" w:eastAsia="仿宋_GB2312"/>
          <w:b/>
          <w:bCs/>
          <w:sz w:val="32"/>
          <w:szCs w:val="32"/>
        </w:rPr>
        <w:t>*</w:t>
      </w:r>
      <w:r>
        <w:rPr>
          <w:rFonts w:ascii="仿宋_GB2312" w:hAnsi="楷体" w:eastAsia="仿宋_GB2312"/>
          <w:b/>
          <w:bCs/>
          <w:color w:val="auto"/>
          <w:sz w:val="32"/>
          <w:szCs w:val="32"/>
        </w:rPr>
        <w:t>1</w:t>
      </w:r>
      <w:r>
        <w:rPr>
          <w:rFonts w:hint="eastAsia" w:ascii="仿宋_GB2312" w:hAnsi="楷体" w:eastAsia="仿宋_GB2312"/>
          <w:b/>
          <w:bCs/>
          <w:color w:val="auto"/>
          <w:sz w:val="32"/>
          <w:szCs w:val="32"/>
          <w:lang w:val="en-US" w:eastAsia="zh-CN"/>
        </w:rPr>
        <w:t>1.</w:t>
      </w:r>
      <w:r>
        <w:rPr>
          <w:rFonts w:ascii="仿宋_GB2312" w:hAnsi="楷体" w:eastAsia="仿宋_GB2312"/>
          <w:b/>
          <w:bCs/>
          <w:color w:val="auto"/>
          <w:sz w:val="32"/>
          <w:szCs w:val="32"/>
        </w:rPr>
        <w:t>数字教育形态研究</w:t>
      </w:r>
    </w:p>
    <w:p>
      <w:pPr>
        <w:ind w:firstLine="640" w:firstLineChars="200"/>
        <w:rPr>
          <w:rFonts w:ascii="仿宋_GB2312" w:hAnsi="楷体" w:eastAsia="仿宋_GB2312"/>
          <w:sz w:val="32"/>
          <w:szCs w:val="32"/>
        </w:rPr>
      </w:pPr>
      <w:r>
        <w:rPr>
          <w:rFonts w:hint="eastAsia" w:ascii="仿宋_GB2312" w:hAnsi="楷体" w:eastAsia="仿宋_GB2312"/>
          <w:color w:val="auto"/>
          <w:sz w:val="32"/>
          <w:szCs w:val="32"/>
        </w:rPr>
        <w:t>指南意图：应研究</w:t>
      </w:r>
      <w:r>
        <w:rPr>
          <w:rFonts w:hint="eastAsia" w:ascii="仿宋_GB2312" w:hAnsi="楷体" w:eastAsia="仿宋_GB2312"/>
          <w:color w:val="auto"/>
          <w:sz w:val="32"/>
          <w:szCs w:val="32"/>
          <w:lang w:eastAsia="zh-CN"/>
        </w:rPr>
        <w:t>（1）</w:t>
      </w:r>
      <w:r>
        <w:rPr>
          <w:rFonts w:ascii="仿宋_GB2312" w:hAnsi="楷体" w:eastAsia="仿宋_GB2312"/>
          <w:color w:val="auto"/>
          <w:sz w:val="32"/>
          <w:szCs w:val="32"/>
        </w:rPr>
        <w:t>数字教育的基本内涵与本质特征；</w:t>
      </w:r>
      <w:r>
        <w:rPr>
          <w:rFonts w:hint="eastAsia" w:ascii="仿宋_GB2312" w:hAnsi="楷体" w:eastAsia="仿宋_GB2312"/>
          <w:color w:val="auto"/>
          <w:sz w:val="32"/>
          <w:szCs w:val="32"/>
          <w:lang w:eastAsia="zh-CN"/>
        </w:rPr>
        <w:t>（2）</w:t>
      </w:r>
      <w:r>
        <w:rPr>
          <w:rFonts w:ascii="仿宋_GB2312" w:hAnsi="楷体" w:eastAsia="仿宋_GB2312"/>
          <w:color w:val="auto"/>
          <w:sz w:val="32"/>
          <w:szCs w:val="32"/>
        </w:rPr>
        <w:t>数字教育的认识论基础和理论架构；</w:t>
      </w:r>
      <w:r>
        <w:rPr>
          <w:rFonts w:hint="eastAsia" w:ascii="仿宋_GB2312" w:hAnsi="楷体" w:eastAsia="仿宋_GB2312"/>
          <w:color w:val="auto"/>
          <w:sz w:val="32"/>
          <w:szCs w:val="32"/>
          <w:lang w:eastAsia="zh-CN"/>
        </w:rPr>
        <w:t>（3）</w:t>
      </w:r>
      <w:r>
        <w:rPr>
          <w:rFonts w:ascii="仿宋_GB2312" w:hAnsi="楷体" w:eastAsia="仿宋_GB2312"/>
          <w:color w:val="auto"/>
          <w:sz w:val="32"/>
          <w:szCs w:val="32"/>
        </w:rPr>
        <w:t>数字教育的</w:t>
      </w:r>
      <w:r>
        <w:rPr>
          <w:rFonts w:hint="eastAsia" w:ascii="仿宋_GB2312" w:hAnsi="楷体" w:eastAsia="仿宋_GB2312"/>
          <w:color w:val="auto"/>
          <w:sz w:val="32"/>
          <w:szCs w:val="32"/>
        </w:rPr>
        <w:t>内容、</w:t>
      </w:r>
      <w:r>
        <w:rPr>
          <w:rFonts w:ascii="仿宋_GB2312" w:hAnsi="楷体" w:eastAsia="仿宋_GB2312"/>
          <w:color w:val="auto"/>
          <w:sz w:val="32"/>
          <w:szCs w:val="32"/>
        </w:rPr>
        <w:t>体系与结构；</w:t>
      </w:r>
      <w:r>
        <w:rPr>
          <w:rFonts w:hint="eastAsia" w:ascii="仿宋_GB2312" w:hAnsi="楷体" w:eastAsia="仿宋_GB2312"/>
          <w:color w:val="auto"/>
          <w:sz w:val="32"/>
          <w:szCs w:val="32"/>
          <w:lang w:eastAsia="zh-CN"/>
        </w:rPr>
        <w:t>（4）</w:t>
      </w:r>
      <w:r>
        <w:rPr>
          <w:rFonts w:ascii="仿宋_GB2312" w:hAnsi="楷体" w:eastAsia="仿宋_GB2312"/>
          <w:color w:val="auto"/>
          <w:sz w:val="32"/>
          <w:szCs w:val="32"/>
        </w:rPr>
        <w:t>数字教育的实施路径。</w:t>
      </w:r>
    </w:p>
    <w:p>
      <w:pPr>
        <w:ind w:firstLine="643" w:firstLineChars="200"/>
        <w:rPr>
          <w:rFonts w:ascii="仿宋_GB2312" w:hAnsi="楷体" w:eastAsia="仿宋_GB2312"/>
          <w:b/>
          <w:bCs/>
          <w:sz w:val="32"/>
          <w:szCs w:val="32"/>
        </w:rPr>
      </w:pPr>
      <w:r>
        <w:rPr>
          <w:rFonts w:hint="eastAsia" w:ascii="仿宋_GB2312" w:hAnsi="楷体" w:eastAsia="仿宋_GB2312"/>
          <w:b/>
          <w:bCs/>
          <w:sz w:val="32"/>
          <w:szCs w:val="32"/>
        </w:rPr>
        <w:t>*1</w:t>
      </w:r>
      <w:r>
        <w:rPr>
          <w:rFonts w:hint="eastAsia" w:ascii="仿宋_GB2312" w:hAnsi="楷体" w:eastAsia="仿宋_GB2312"/>
          <w:b/>
          <w:bCs/>
          <w:sz w:val="32"/>
          <w:szCs w:val="32"/>
          <w:lang w:val="en-US" w:eastAsia="zh-CN"/>
        </w:rPr>
        <w:t>2.</w:t>
      </w:r>
      <w:r>
        <w:rPr>
          <w:rFonts w:hint="eastAsia" w:ascii="仿宋_GB2312" w:hAnsi="楷体" w:eastAsia="仿宋_GB2312"/>
          <w:b/>
          <w:bCs/>
          <w:sz w:val="32"/>
          <w:szCs w:val="32"/>
        </w:rPr>
        <w:t>新一代人工智能对教育的影响研究</w:t>
      </w:r>
    </w:p>
    <w:p>
      <w:pPr>
        <w:ind w:firstLine="640" w:firstLineChars="200"/>
        <w:rPr>
          <w:rFonts w:hint="eastAsia" w:eastAsia="仿宋_GB2312"/>
          <w:lang w:val="en-US" w:eastAsia="zh-CN"/>
        </w:rPr>
      </w:pPr>
      <w:r>
        <w:rPr>
          <w:rFonts w:hint="eastAsia" w:ascii="仿宋_GB2312" w:hAnsi="楷体" w:eastAsia="仿宋_GB2312"/>
          <w:sz w:val="32"/>
          <w:szCs w:val="32"/>
        </w:rPr>
        <w:t>指南意图：应研究</w:t>
      </w:r>
      <w:r>
        <w:rPr>
          <w:rFonts w:hint="eastAsia" w:ascii="仿宋_GB2312" w:hAnsi="楷体" w:eastAsia="仿宋_GB2312"/>
          <w:sz w:val="32"/>
          <w:szCs w:val="32"/>
          <w:lang w:eastAsia="zh-CN"/>
        </w:rPr>
        <w:t>（1）</w:t>
      </w:r>
      <w:r>
        <w:rPr>
          <w:rFonts w:hint="eastAsia" w:ascii="仿宋_GB2312" w:hAnsi="楷体" w:eastAsia="仿宋_GB2312"/>
          <w:sz w:val="32"/>
          <w:szCs w:val="32"/>
        </w:rPr>
        <w:t>以ChatGPT为代表的新一代人工智能对教育的挑战</w:t>
      </w:r>
      <w:r>
        <w:rPr>
          <w:rFonts w:hint="eastAsia" w:ascii="仿宋_GB2312" w:hAnsi="楷体" w:eastAsia="仿宋_GB2312"/>
          <w:sz w:val="32"/>
          <w:szCs w:val="32"/>
          <w:lang w:eastAsia="zh-CN"/>
        </w:rPr>
        <w:t>和</w:t>
      </w:r>
      <w:r>
        <w:rPr>
          <w:rFonts w:hint="eastAsia" w:ascii="仿宋_GB2312" w:hAnsi="楷体" w:eastAsia="仿宋_GB2312"/>
          <w:sz w:val="32"/>
          <w:szCs w:val="32"/>
        </w:rPr>
        <w:t>机遇；</w:t>
      </w:r>
      <w:r>
        <w:rPr>
          <w:rFonts w:hint="eastAsia" w:ascii="仿宋_GB2312" w:hAnsi="楷体" w:eastAsia="仿宋_GB2312"/>
          <w:sz w:val="32"/>
          <w:szCs w:val="32"/>
          <w:lang w:val="en-US" w:eastAsia="zh-CN"/>
        </w:rPr>
        <w:t>（2）</w:t>
      </w:r>
      <w:r>
        <w:rPr>
          <w:rFonts w:hint="eastAsia" w:ascii="仿宋_GB2312" w:hAnsi="楷体" w:eastAsia="仿宋_GB2312"/>
          <w:sz w:val="32"/>
          <w:szCs w:val="32"/>
        </w:rPr>
        <w:t>新一代人工智能对教育形态的重塑；</w:t>
      </w:r>
      <w:r>
        <w:rPr>
          <w:rFonts w:hint="eastAsia" w:ascii="仿宋_GB2312" w:hAnsi="楷体" w:eastAsia="仿宋_GB2312"/>
          <w:sz w:val="32"/>
          <w:szCs w:val="32"/>
          <w:lang w:val="en-US" w:eastAsia="zh-CN"/>
        </w:rPr>
        <w:t>（3）</w:t>
      </w:r>
      <w:r>
        <w:rPr>
          <w:rFonts w:hint="eastAsia" w:ascii="仿宋_GB2312" w:hAnsi="楷体" w:eastAsia="仿宋_GB2312"/>
          <w:sz w:val="32"/>
          <w:szCs w:val="32"/>
        </w:rPr>
        <w:t>新一代人工智能在教育领域的伦理风险防范</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（4）应对</w:t>
      </w:r>
      <w:r>
        <w:rPr>
          <w:rFonts w:hint="eastAsia" w:ascii="仿宋_GB2312" w:hAnsi="楷体" w:eastAsia="仿宋_GB2312"/>
          <w:sz w:val="32"/>
          <w:szCs w:val="32"/>
        </w:rPr>
        <w:t>新一代人工智能</w:t>
      </w:r>
      <w:r>
        <w:rPr>
          <w:rFonts w:hint="eastAsia" w:ascii="仿宋_GB2312" w:hAnsi="楷体" w:eastAsia="仿宋_GB2312"/>
          <w:sz w:val="32"/>
          <w:szCs w:val="32"/>
          <w:lang w:eastAsia="zh-CN"/>
        </w:rPr>
        <w:t>挑战的</w:t>
      </w:r>
      <w:r>
        <w:rPr>
          <w:rFonts w:hint="eastAsia" w:ascii="仿宋_GB2312" w:hAnsi="楷体" w:eastAsia="仿宋_GB2312"/>
          <w:sz w:val="32"/>
          <w:szCs w:val="32"/>
          <w:lang w:val="en-US" w:eastAsia="zh-CN"/>
        </w:rPr>
        <w:t>教育管理改革和政策创新。</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gwOTgwMmMwZTQxODQ5Yzc3NjEzNTI2YmVhZjI1NjYifQ=="/>
  </w:docVars>
  <w:rsids>
    <w:rsidRoot w:val="000037D3"/>
    <w:rsid w:val="000037D3"/>
    <w:rsid w:val="00012FA5"/>
    <w:rsid w:val="00063C3A"/>
    <w:rsid w:val="0009057E"/>
    <w:rsid w:val="001357E0"/>
    <w:rsid w:val="00160523"/>
    <w:rsid w:val="001C67F9"/>
    <w:rsid w:val="00230341"/>
    <w:rsid w:val="002B7512"/>
    <w:rsid w:val="00362422"/>
    <w:rsid w:val="003A0C55"/>
    <w:rsid w:val="003C7AAC"/>
    <w:rsid w:val="003F20B8"/>
    <w:rsid w:val="004467EB"/>
    <w:rsid w:val="00463249"/>
    <w:rsid w:val="00470834"/>
    <w:rsid w:val="004A6AD5"/>
    <w:rsid w:val="00590CE1"/>
    <w:rsid w:val="005A2377"/>
    <w:rsid w:val="006A15D0"/>
    <w:rsid w:val="006E23AC"/>
    <w:rsid w:val="006E2469"/>
    <w:rsid w:val="00701115"/>
    <w:rsid w:val="00732383"/>
    <w:rsid w:val="00755DF0"/>
    <w:rsid w:val="007B6180"/>
    <w:rsid w:val="008018BE"/>
    <w:rsid w:val="00853235"/>
    <w:rsid w:val="008E26F5"/>
    <w:rsid w:val="00903C40"/>
    <w:rsid w:val="00961EF3"/>
    <w:rsid w:val="009C371A"/>
    <w:rsid w:val="009D65BD"/>
    <w:rsid w:val="00A13635"/>
    <w:rsid w:val="00A16BF1"/>
    <w:rsid w:val="00A57704"/>
    <w:rsid w:val="00AE7DBC"/>
    <w:rsid w:val="00B23B57"/>
    <w:rsid w:val="00B30FB3"/>
    <w:rsid w:val="00B64634"/>
    <w:rsid w:val="00C541F9"/>
    <w:rsid w:val="00C84FBA"/>
    <w:rsid w:val="00CF3124"/>
    <w:rsid w:val="00D04BE1"/>
    <w:rsid w:val="00D24913"/>
    <w:rsid w:val="00D55BC7"/>
    <w:rsid w:val="00D86802"/>
    <w:rsid w:val="00F0163B"/>
    <w:rsid w:val="016043AA"/>
    <w:rsid w:val="016A5229"/>
    <w:rsid w:val="01B103E5"/>
    <w:rsid w:val="01B3097E"/>
    <w:rsid w:val="01DD59FB"/>
    <w:rsid w:val="02FD0684"/>
    <w:rsid w:val="035A6766"/>
    <w:rsid w:val="037C716B"/>
    <w:rsid w:val="03F51722"/>
    <w:rsid w:val="04D5180C"/>
    <w:rsid w:val="06F07F7E"/>
    <w:rsid w:val="085C194E"/>
    <w:rsid w:val="099742CC"/>
    <w:rsid w:val="0A3A097E"/>
    <w:rsid w:val="0A852C16"/>
    <w:rsid w:val="0AB96B12"/>
    <w:rsid w:val="0BA3775C"/>
    <w:rsid w:val="0C8278CB"/>
    <w:rsid w:val="0D314E4D"/>
    <w:rsid w:val="0D7C0F42"/>
    <w:rsid w:val="0D8B6C53"/>
    <w:rsid w:val="0FAC2EB1"/>
    <w:rsid w:val="111725AC"/>
    <w:rsid w:val="1122342A"/>
    <w:rsid w:val="133726DD"/>
    <w:rsid w:val="143C5E43"/>
    <w:rsid w:val="149363ED"/>
    <w:rsid w:val="162639BD"/>
    <w:rsid w:val="16ED44DA"/>
    <w:rsid w:val="17233A97"/>
    <w:rsid w:val="17783DA4"/>
    <w:rsid w:val="179E57D5"/>
    <w:rsid w:val="17D62C90"/>
    <w:rsid w:val="194859F8"/>
    <w:rsid w:val="19A075E2"/>
    <w:rsid w:val="19DB7A29"/>
    <w:rsid w:val="1B8A1536"/>
    <w:rsid w:val="1BF8455C"/>
    <w:rsid w:val="1DA17DCD"/>
    <w:rsid w:val="1DC94F26"/>
    <w:rsid w:val="1E3E73CA"/>
    <w:rsid w:val="1E892D3B"/>
    <w:rsid w:val="1EA47B74"/>
    <w:rsid w:val="1EA5569B"/>
    <w:rsid w:val="1F4201E6"/>
    <w:rsid w:val="1F7A0AB6"/>
    <w:rsid w:val="20934038"/>
    <w:rsid w:val="21D97B35"/>
    <w:rsid w:val="21E94FBA"/>
    <w:rsid w:val="221D0C98"/>
    <w:rsid w:val="22B1460E"/>
    <w:rsid w:val="22D447A0"/>
    <w:rsid w:val="22D56455"/>
    <w:rsid w:val="22F64717"/>
    <w:rsid w:val="23404830"/>
    <w:rsid w:val="24B44889"/>
    <w:rsid w:val="25396B3D"/>
    <w:rsid w:val="258B55EA"/>
    <w:rsid w:val="25B4065F"/>
    <w:rsid w:val="279B588D"/>
    <w:rsid w:val="28537F15"/>
    <w:rsid w:val="287E6170"/>
    <w:rsid w:val="288B3B53"/>
    <w:rsid w:val="294E4BC1"/>
    <w:rsid w:val="29F83587"/>
    <w:rsid w:val="2A7C5EA5"/>
    <w:rsid w:val="2ACD2201"/>
    <w:rsid w:val="2AFA0B1C"/>
    <w:rsid w:val="2C0E01D5"/>
    <w:rsid w:val="2CBC165F"/>
    <w:rsid w:val="2CDF24D2"/>
    <w:rsid w:val="2D0A773C"/>
    <w:rsid w:val="2D512432"/>
    <w:rsid w:val="2E556062"/>
    <w:rsid w:val="2E690493"/>
    <w:rsid w:val="2ED2702B"/>
    <w:rsid w:val="2EEB3364"/>
    <w:rsid w:val="301F34FF"/>
    <w:rsid w:val="30AC4667"/>
    <w:rsid w:val="3115207E"/>
    <w:rsid w:val="3284589B"/>
    <w:rsid w:val="32A0644D"/>
    <w:rsid w:val="32E93950"/>
    <w:rsid w:val="330E33B7"/>
    <w:rsid w:val="33F22CD8"/>
    <w:rsid w:val="33FF778B"/>
    <w:rsid w:val="34063CCA"/>
    <w:rsid w:val="34A22009"/>
    <w:rsid w:val="350D1705"/>
    <w:rsid w:val="35B3133E"/>
    <w:rsid w:val="37335AE2"/>
    <w:rsid w:val="37D7646D"/>
    <w:rsid w:val="384A4E91"/>
    <w:rsid w:val="39B06F8C"/>
    <w:rsid w:val="3B90705F"/>
    <w:rsid w:val="3BD74C8E"/>
    <w:rsid w:val="3BDC04F6"/>
    <w:rsid w:val="3C722C08"/>
    <w:rsid w:val="3D6A38DF"/>
    <w:rsid w:val="3E170C82"/>
    <w:rsid w:val="3E3B32E7"/>
    <w:rsid w:val="3F566811"/>
    <w:rsid w:val="3FE61943"/>
    <w:rsid w:val="3FF27E13"/>
    <w:rsid w:val="3FFD0A3B"/>
    <w:rsid w:val="415F094C"/>
    <w:rsid w:val="4251506E"/>
    <w:rsid w:val="42CE4911"/>
    <w:rsid w:val="43324E9F"/>
    <w:rsid w:val="4535008B"/>
    <w:rsid w:val="45D32231"/>
    <w:rsid w:val="45DE30BD"/>
    <w:rsid w:val="46001285"/>
    <w:rsid w:val="46AC4F69"/>
    <w:rsid w:val="46D71FE6"/>
    <w:rsid w:val="474C0428"/>
    <w:rsid w:val="484E277B"/>
    <w:rsid w:val="489B7043"/>
    <w:rsid w:val="4A064990"/>
    <w:rsid w:val="4B83273C"/>
    <w:rsid w:val="4C3677AE"/>
    <w:rsid w:val="4CD60F91"/>
    <w:rsid w:val="4E30570B"/>
    <w:rsid w:val="4E402B66"/>
    <w:rsid w:val="4E503B4D"/>
    <w:rsid w:val="4FC1784C"/>
    <w:rsid w:val="50762EED"/>
    <w:rsid w:val="516E1744"/>
    <w:rsid w:val="51A33CEF"/>
    <w:rsid w:val="521560B8"/>
    <w:rsid w:val="522602C5"/>
    <w:rsid w:val="53D21999"/>
    <w:rsid w:val="55EB7840"/>
    <w:rsid w:val="56B55EBF"/>
    <w:rsid w:val="588E7AFE"/>
    <w:rsid w:val="5900361E"/>
    <w:rsid w:val="5A5B2AD6"/>
    <w:rsid w:val="5ACC12DE"/>
    <w:rsid w:val="5B8A0BEC"/>
    <w:rsid w:val="5BC924F7"/>
    <w:rsid w:val="5C277114"/>
    <w:rsid w:val="5C403D31"/>
    <w:rsid w:val="5C4A4BB0"/>
    <w:rsid w:val="5CAF131C"/>
    <w:rsid w:val="5E4E2550"/>
    <w:rsid w:val="5E541D16"/>
    <w:rsid w:val="5E6261E1"/>
    <w:rsid w:val="60477D84"/>
    <w:rsid w:val="6146003C"/>
    <w:rsid w:val="6147287B"/>
    <w:rsid w:val="61A11716"/>
    <w:rsid w:val="61E822EE"/>
    <w:rsid w:val="623161EC"/>
    <w:rsid w:val="626B6509"/>
    <w:rsid w:val="62877144"/>
    <w:rsid w:val="62E06EE1"/>
    <w:rsid w:val="62FB33E9"/>
    <w:rsid w:val="6333639E"/>
    <w:rsid w:val="6387347E"/>
    <w:rsid w:val="64093F70"/>
    <w:rsid w:val="64FA2A94"/>
    <w:rsid w:val="65420B1A"/>
    <w:rsid w:val="66416BA4"/>
    <w:rsid w:val="66530AC3"/>
    <w:rsid w:val="66C8504F"/>
    <w:rsid w:val="6736080D"/>
    <w:rsid w:val="67CF52F1"/>
    <w:rsid w:val="67E64431"/>
    <w:rsid w:val="68210EBB"/>
    <w:rsid w:val="68DE5F02"/>
    <w:rsid w:val="69324595"/>
    <w:rsid w:val="696C260A"/>
    <w:rsid w:val="6AFE3735"/>
    <w:rsid w:val="6B02101C"/>
    <w:rsid w:val="6B086362"/>
    <w:rsid w:val="6BD66460"/>
    <w:rsid w:val="6C2E3E64"/>
    <w:rsid w:val="6C53185F"/>
    <w:rsid w:val="6C700663"/>
    <w:rsid w:val="6D5D763E"/>
    <w:rsid w:val="6D631F76"/>
    <w:rsid w:val="6DB87D30"/>
    <w:rsid w:val="6E494CC8"/>
    <w:rsid w:val="6F347560"/>
    <w:rsid w:val="6FDB4045"/>
    <w:rsid w:val="7002533D"/>
    <w:rsid w:val="71546FD2"/>
    <w:rsid w:val="73573FBF"/>
    <w:rsid w:val="736B748E"/>
    <w:rsid w:val="73A15581"/>
    <w:rsid w:val="73C44DF0"/>
    <w:rsid w:val="747405C4"/>
    <w:rsid w:val="74A302A1"/>
    <w:rsid w:val="76063812"/>
    <w:rsid w:val="77463282"/>
    <w:rsid w:val="77A141F6"/>
    <w:rsid w:val="788E4B85"/>
    <w:rsid w:val="789254BD"/>
    <w:rsid w:val="78DE0702"/>
    <w:rsid w:val="79554E68"/>
    <w:rsid w:val="7B6B4E8E"/>
    <w:rsid w:val="7C283604"/>
    <w:rsid w:val="7CA270D6"/>
    <w:rsid w:val="7D1C7A4B"/>
    <w:rsid w:val="7EE07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字符"/>
    <w:basedOn w:val="7"/>
    <w:link w:val="3"/>
    <w:semiHidden/>
    <w:qFormat/>
    <w:uiPriority w:val="99"/>
    <w:rPr>
      <w:rFonts w:cs="Times New Roman"/>
      <w:sz w:val="18"/>
    </w:rPr>
  </w:style>
  <w:style w:type="character" w:customStyle="1" w:styleId="9">
    <w:name w:val="页眉 字符"/>
    <w:basedOn w:val="7"/>
    <w:link w:val="5"/>
    <w:qFormat/>
    <w:uiPriority w:val="99"/>
    <w:rPr>
      <w:rFonts w:cs="Times New Roman"/>
      <w:sz w:val="18"/>
    </w:rPr>
  </w:style>
  <w:style w:type="character" w:customStyle="1" w:styleId="10">
    <w:name w:val="页脚 字符"/>
    <w:basedOn w:val="7"/>
    <w:link w:val="4"/>
    <w:qFormat/>
    <w:uiPriority w:val="99"/>
    <w:rPr>
      <w:rFonts w:cs="Times New Roman"/>
      <w:sz w:val="18"/>
    </w:rPr>
  </w:style>
  <w:style w:type="paragraph" w:styleId="11">
    <w:name w:val="List Paragraph"/>
    <w:basedOn w:val="1"/>
    <w:qFormat/>
    <w:uiPriority w:val="34"/>
    <w:pPr>
      <w:ind w:firstLine="420" w:firstLineChars="200"/>
    </w:pPr>
  </w:style>
  <w:style w:type="character" w:customStyle="1" w:styleId="12">
    <w:name w:val="font41"/>
    <w:basedOn w:val="7"/>
    <w:qFormat/>
    <w:uiPriority w:val="0"/>
    <w:rPr>
      <w:rFonts w:hint="eastAsia" w:ascii="华文仿宋" w:hAnsi="华文仿宋" w:eastAsia="华文仿宋" w:cs="华文仿宋"/>
      <w:color w:val="FF0000"/>
      <w:sz w:val="32"/>
      <w:szCs w:val="32"/>
      <w:u w:val="none"/>
    </w:rPr>
  </w:style>
  <w:style w:type="character" w:customStyle="1" w:styleId="13">
    <w:name w:val="font01"/>
    <w:basedOn w:val="7"/>
    <w:qFormat/>
    <w:uiPriority w:val="0"/>
    <w:rPr>
      <w:rFonts w:hint="eastAsia" w:ascii="华文仿宋" w:hAnsi="华文仿宋" w:eastAsia="华文仿宋" w:cs="华文仿宋"/>
      <w:color w:val="FF0000"/>
      <w:sz w:val="32"/>
      <w:szCs w:val="32"/>
      <w:u w:val="non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1435</Words>
  <Characters>1473</Characters>
  <Lines>24</Lines>
  <Paragraphs>6</Paragraphs>
  <TotalTime>4</TotalTime>
  <ScaleCrop>false</ScaleCrop>
  <LinksUpToDate>false</LinksUpToDate>
  <CharactersWithSpaces>1475</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2023-03-22T01:34:00Z</dcterms:created>
  <dc:creator>Meng</dc:creator>
  <cp:lastModifiedBy>Administrator</cp:lastModifiedBy>
  <cp:lastPrinted>2023-05-06T02:05:43Z</cp:lastPrinted>
  <dcterms:modified xsi:type="dcterms:W3CDTF">2023-05-06T02:07:00Z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8CE23E84FF5E4D2FBF9AB35CDFA7D519</vt:lpwstr>
  </property>
</Properties>
</file>