
<file path=[Content_Types].xml><?xml version="1.0" encoding="utf-8"?>
<Types xmlns="http://schemas.openxmlformats.org/package/2006/content-types">
  <Default ContentType="image/jpeg" Extension="jpe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p>
    <w:p>
      <w:pPr>
        <w:jc w:val="center"/>
      </w:pPr>
    </w:p>
    <w:p>
      <w:pPr>
        <w:jc w:val="center"/>
      </w:pPr>
    </w:p>
    <w:p>
      <w:pPr>
        <w:jc w:val="center"/>
      </w:pPr>
    </w:p>
    <w:p>
      <w:pPr>
        <w:jc w:val="center"/>
      </w:pPr>
    </w:p>
    <w:p>
      <w:pPr>
        <w:jc w:val="center"/>
      </w:pPr>
    </w:p>
    <w:p>
      <w:pPr>
        <w:jc w:val="center"/>
        <w:rPr>
          <w:rFonts w:hint="eastAsia" w:ascii="黑体" w:hAnsi="黑体" w:eastAsia="黑体"/>
          <w:b/>
          <w:sz w:val="44"/>
          <w:szCs w:val="44"/>
          <w:u w:val="none"/>
          <w:lang w:val="en-US" w:eastAsia="zh-CN"/>
        </w:rPr>
      </w:pPr>
      <w:r>
        <w:rPr>
          <w:rFonts w:hint="eastAsia" w:ascii="黑体" w:hAnsi="黑体" w:eastAsia="黑体"/>
          <w:b/>
          <w:sz w:val="44"/>
          <w:szCs w:val="44"/>
          <w:u w:val="none"/>
          <w:lang w:val="en-US" w:eastAsia="zh-CN"/>
        </w:rPr>
        <w:t>湖南科技学院</w:t>
      </w:r>
    </w:p>
    <w:p>
      <w:pPr>
        <w:jc w:val="center"/>
        <w:rPr>
          <w:rFonts w:hint="eastAsia" w:ascii="黑体" w:hAnsi="黑体" w:eastAsia="黑体"/>
          <w:b/>
          <w:sz w:val="44"/>
          <w:szCs w:val="44"/>
          <w:u w:val="none"/>
          <w:lang w:val="en-US" w:eastAsia="zh-CN"/>
        </w:rPr>
      </w:pPr>
    </w:p>
    <w:p>
      <w:pPr>
        <w:jc w:val="center"/>
        <w:rPr>
          <w:rFonts w:hint="eastAsia" w:ascii="黑体" w:hAnsi="黑体" w:eastAsia="黑体"/>
          <w:b/>
          <w:sz w:val="44"/>
          <w:szCs w:val="44"/>
          <w:u w:val="none"/>
          <w:lang w:val="en-US" w:eastAsia="zh-CN"/>
        </w:rPr>
      </w:pPr>
    </w:p>
    <w:p>
      <w:pPr>
        <w:jc w:val="center"/>
        <w:rPr>
          <w:rFonts w:hint="eastAsia" w:ascii="黑体" w:hAnsi="黑体" w:eastAsia="黑体"/>
          <w:b/>
          <w:sz w:val="44"/>
          <w:szCs w:val="44"/>
          <w:u w:val="none"/>
          <w:lang w:val="en-US" w:eastAsia="zh-CN"/>
        </w:rPr>
      </w:pPr>
    </w:p>
    <w:p>
      <w:pPr>
        <w:jc w:val="center"/>
        <w:rPr>
          <w:rFonts w:hint="eastAsia" w:ascii="黑体" w:hAnsi="黑体" w:eastAsia="黑体"/>
          <w:b/>
          <w:sz w:val="44"/>
          <w:szCs w:val="44"/>
          <w:u w:val="none"/>
          <w:lang w:val="en-US" w:eastAsia="zh-CN"/>
        </w:rPr>
      </w:pPr>
    </w:p>
    <w:p>
      <w:pPr>
        <w:jc w:val="center"/>
      </w:pPr>
      <w:r>
        <w:rPr>
          <w:rFonts w:hint="eastAsia" w:ascii="黑体" w:hAnsi="黑体" w:eastAsia="黑体"/>
          <w:b/>
          <w:sz w:val="44"/>
          <w:szCs w:val="44"/>
        </w:rPr>
        <w:t>本科教学质量报告</w:t>
      </w:r>
    </w:p>
    <w:p>
      <w:pPr>
        <w:jc w:val="left"/>
      </w:pPr>
    </w:p>
    <w:p>
      <w:pPr>
        <w:jc w:val="center"/>
      </w:pPr>
      <w:r>
        <w:rPr>
          <w:rFonts w:hint="eastAsia" w:ascii="黑体" w:hAnsi="黑体" w:eastAsia="黑体"/>
          <w:b/>
          <w:sz w:val="32"/>
          <w:szCs w:val="32"/>
          <w:u w:val="none"/>
        </w:rPr>
        <w:t>（201</w:t>
      </w:r>
      <w:r>
        <w:rPr>
          <w:rFonts w:hint="eastAsia" w:ascii="黑体" w:hAnsi="黑体" w:eastAsia="黑体"/>
          <w:b/>
          <w:sz w:val="32"/>
          <w:szCs w:val="32"/>
          <w:u w:val="none"/>
          <w:lang w:val="en-US" w:eastAsia="zh-CN"/>
        </w:rPr>
        <w:t>9</w:t>
      </w:r>
      <w:r>
        <w:rPr>
          <w:rFonts w:hint="eastAsia" w:ascii="黑体" w:hAnsi="黑体" w:eastAsia="黑体"/>
          <w:b/>
          <w:sz w:val="32"/>
          <w:szCs w:val="32"/>
          <w:u w:val="none"/>
        </w:rPr>
        <w:t>-20</w:t>
      </w:r>
      <w:r>
        <w:rPr>
          <w:rFonts w:hint="eastAsia" w:ascii="黑体" w:hAnsi="黑体" w:eastAsia="黑体"/>
          <w:b/>
          <w:sz w:val="32"/>
          <w:szCs w:val="32"/>
          <w:u w:val="none"/>
          <w:lang w:val="en-US" w:eastAsia="zh-CN"/>
        </w:rPr>
        <w:t>20</w:t>
      </w:r>
      <w:r>
        <w:rPr>
          <w:rFonts w:hint="eastAsia" w:ascii="黑体" w:hAnsi="黑体" w:eastAsia="黑体"/>
          <w:b/>
          <w:sz w:val="32"/>
          <w:szCs w:val="32"/>
        </w:rPr>
        <w:t>学年）</w:t>
      </w:r>
    </w:p>
    <w:p>
      <w:pPr>
        <w:jc w:val="left"/>
      </w:pPr>
    </w:p>
    <w:p>
      <w:pPr>
        <w:jc w:val="left"/>
      </w:pPr>
    </w:p>
    <w:p>
      <w:pPr>
        <w:jc w:val="left"/>
      </w:pPr>
    </w:p>
    <w:p>
      <w:pPr>
        <w:jc w:val="left"/>
      </w:pPr>
    </w:p>
    <w:p>
      <w:pPr>
        <w:jc w:val="left"/>
      </w:pPr>
    </w:p>
    <w:p>
      <w:pPr>
        <w:jc w:val="left"/>
      </w:pPr>
    </w:p>
    <w:p>
      <w:pPr>
        <w:jc w:val="left"/>
      </w:pPr>
    </w:p>
    <w:p>
      <w:pPr>
        <w:jc w:val="center"/>
        <w:rPr>
          <w:rFonts w:hint="eastAsia" w:ascii="黑体" w:hAnsi="黑体" w:eastAsia="黑体"/>
          <w:b/>
          <w:sz w:val="32"/>
          <w:szCs w:val="32"/>
          <w:lang w:val="en-US" w:eastAsia="zh-CN"/>
        </w:rPr>
      </w:pPr>
    </w:p>
    <w:p>
      <w:pPr>
        <w:jc w:val="center"/>
        <w:rPr>
          <w:rFonts w:hint="eastAsia" w:ascii="黑体" w:hAnsi="黑体" w:eastAsia="黑体"/>
          <w:b/>
          <w:sz w:val="32"/>
          <w:szCs w:val="32"/>
          <w:lang w:val="en-US" w:eastAsia="zh-CN"/>
        </w:rPr>
      </w:pPr>
    </w:p>
    <w:p>
      <w:pPr>
        <w:jc w:val="center"/>
        <w:rPr>
          <w:rFonts w:hint="eastAsia" w:ascii="黑体" w:hAnsi="黑体" w:eastAsia="黑体"/>
          <w:b/>
          <w:sz w:val="32"/>
          <w:szCs w:val="32"/>
          <w:lang w:val="en-US" w:eastAsia="zh-CN"/>
        </w:rPr>
      </w:pPr>
    </w:p>
    <w:p>
      <w:pPr>
        <w:jc w:val="center"/>
        <w:rPr>
          <w:rFonts w:hint="eastAsia" w:ascii="黑体" w:hAnsi="黑体" w:eastAsia="黑体"/>
          <w:b/>
          <w:sz w:val="32"/>
          <w:szCs w:val="32"/>
          <w:lang w:val="en-US" w:eastAsia="zh-CN"/>
        </w:rPr>
      </w:pPr>
    </w:p>
    <w:p>
      <w:pPr>
        <w:jc w:val="center"/>
        <w:rPr>
          <w:rFonts w:hint="default"/>
          <w:lang w:val="en-US"/>
        </w:rPr>
      </w:pPr>
      <w:r>
        <w:rPr>
          <w:rFonts w:hint="eastAsia" w:ascii="黑体" w:hAnsi="黑体" w:eastAsia="黑体"/>
          <w:b/>
          <w:sz w:val="32"/>
          <w:szCs w:val="32"/>
          <w:lang w:val="en-US" w:eastAsia="zh-CN"/>
        </w:rPr>
        <w:t>2020年12月</w:t>
      </w:r>
    </w:p>
    <w:p>
      <w:pPr>
        <w:jc w:val="left"/>
      </w:pPr>
    </w:p>
    <w:p>
      <w:pPr>
        <w:jc w:val="left"/>
      </w:pPr>
    </w:p>
    <w:p>
      <w:pPr>
        <w:jc w:val="left"/>
      </w:pPr>
    </w:p>
    <w:p>
      <w:pPr>
        <w:sectPr>
          <w:pgSz w:w="11906" w:h="16838"/>
          <w:pgMar w:top="1440" w:right="1800" w:bottom="1440" w:left="1800" w:header="851" w:footer="992" w:gutter="0"/>
          <w:pgNumType w:start="1"/>
          <w:cols w:space="425" w:num="1"/>
          <w:docGrid w:type="lines" w:linePitch="312" w:charSpace="0"/>
        </w:sectPr>
      </w:pPr>
    </w:p>
    <w:sdt>
      <w:sdtPr>
        <w:rPr>
          <w:rFonts w:ascii="宋体" w:hAnsi="宋体" w:eastAsia="宋体" w:cstheme="minorBidi"/>
          <w:kern w:val="2"/>
          <w:sz w:val="21"/>
          <w:szCs w:val="22"/>
          <w:lang w:val="en-US" w:eastAsia="zh-CN" w:bidi="ar-SA"/>
        </w:rPr>
        <w:id w:val="147451741"/>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目录</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_Toc20117 </w:instrText>
          </w:r>
          <w:r>
            <w:rPr>
              <w:rFonts w:hint="eastAsia" w:ascii="黑体" w:hAnsi="黑体" w:eastAsia="黑体" w:cs="黑体"/>
              <w:sz w:val="24"/>
              <w:szCs w:val="24"/>
            </w:rPr>
            <w:fldChar w:fldCharType="separate"/>
          </w:r>
          <w:r>
            <w:rPr>
              <w:rFonts w:hint="eastAsia" w:ascii="黑体" w:hAnsi="黑体" w:eastAsia="黑体" w:cs="黑体"/>
              <w:bCs/>
              <w:sz w:val="24"/>
              <w:szCs w:val="24"/>
            </w:rPr>
            <w:t>学校概况</w:t>
          </w:r>
          <w:r>
            <w:rPr>
              <w:sz w:val="24"/>
              <w:szCs w:val="24"/>
            </w:rPr>
            <w:tab/>
          </w:r>
          <w:r>
            <w:rPr>
              <w:sz w:val="24"/>
              <w:szCs w:val="24"/>
            </w:rPr>
            <w:fldChar w:fldCharType="begin"/>
          </w:r>
          <w:r>
            <w:rPr>
              <w:sz w:val="24"/>
              <w:szCs w:val="24"/>
            </w:rPr>
            <w:instrText xml:space="preserve"> PAGEREF _Toc20117 </w:instrText>
          </w:r>
          <w:r>
            <w:rPr>
              <w:sz w:val="24"/>
              <w:szCs w:val="24"/>
            </w:rPr>
            <w:fldChar w:fldCharType="separate"/>
          </w:r>
          <w:r>
            <w:rPr>
              <w:sz w:val="24"/>
              <w:szCs w:val="24"/>
            </w:rPr>
            <w:t>1</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_Toc9894 </w:instrText>
          </w:r>
          <w:r>
            <w:rPr>
              <w:rFonts w:hint="eastAsia" w:ascii="黑体" w:hAnsi="黑体" w:eastAsia="黑体" w:cs="黑体"/>
              <w:sz w:val="24"/>
              <w:szCs w:val="24"/>
            </w:rPr>
            <w:fldChar w:fldCharType="separate"/>
          </w:r>
          <w:r>
            <w:rPr>
              <w:rFonts w:hint="eastAsia" w:ascii="黑体" w:hAnsi="黑体" w:eastAsia="黑体"/>
              <w:sz w:val="24"/>
              <w:szCs w:val="24"/>
            </w:rPr>
            <w:t>一、本科教育基本情况</w:t>
          </w:r>
          <w:r>
            <w:rPr>
              <w:sz w:val="24"/>
              <w:szCs w:val="24"/>
            </w:rPr>
            <w:tab/>
          </w:r>
          <w:r>
            <w:rPr>
              <w:sz w:val="24"/>
              <w:szCs w:val="24"/>
            </w:rPr>
            <w:fldChar w:fldCharType="begin"/>
          </w:r>
          <w:r>
            <w:rPr>
              <w:sz w:val="24"/>
              <w:szCs w:val="24"/>
            </w:rPr>
            <w:instrText xml:space="preserve"> PAGEREF _Toc9894 </w:instrText>
          </w:r>
          <w:r>
            <w:rPr>
              <w:sz w:val="24"/>
              <w:szCs w:val="24"/>
            </w:rPr>
            <w:fldChar w:fldCharType="separate"/>
          </w:r>
          <w:r>
            <w:rPr>
              <w:sz w:val="24"/>
              <w:szCs w:val="24"/>
            </w:rPr>
            <w:t>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_Toc14308 </w:instrText>
          </w:r>
          <w:r>
            <w:rPr>
              <w:rFonts w:hint="eastAsia" w:ascii="黑体" w:hAnsi="黑体" w:eastAsia="黑体" w:cs="黑体"/>
              <w:sz w:val="24"/>
              <w:szCs w:val="24"/>
            </w:rPr>
            <w:fldChar w:fldCharType="separate"/>
          </w:r>
          <w:r>
            <w:rPr>
              <w:rFonts w:hint="eastAsia" w:ascii="黑体" w:hAnsi="黑体" w:eastAsia="黑体"/>
              <w:sz w:val="24"/>
              <w:szCs w:val="24"/>
            </w:rPr>
            <w:t>（一）</w:t>
          </w:r>
          <w:r>
            <w:rPr>
              <w:rFonts w:hint="eastAsia" w:ascii="黑体" w:hAnsi="黑体" w:eastAsia="黑体"/>
              <w:sz w:val="24"/>
              <w:szCs w:val="24"/>
              <w:lang w:val="en-US" w:eastAsia="zh-CN"/>
            </w:rPr>
            <w:t>发展目标定位</w:t>
          </w:r>
          <w:r>
            <w:rPr>
              <w:sz w:val="24"/>
              <w:szCs w:val="24"/>
            </w:rPr>
            <w:tab/>
          </w:r>
          <w:r>
            <w:rPr>
              <w:sz w:val="24"/>
              <w:szCs w:val="24"/>
            </w:rPr>
            <w:fldChar w:fldCharType="begin"/>
          </w:r>
          <w:r>
            <w:rPr>
              <w:sz w:val="24"/>
              <w:szCs w:val="24"/>
            </w:rPr>
            <w:instrText xml:space="preserve"> PAGEREF _Toc14308 </w:instrText>
          </w:r>
          <w:r>
            <w:rPr>
              <w:sz w:val="24"/>
              <w:szCs w:val="24"/>
            </w:rPr>
            <w:fldChar w:fldCharType="separate"/>
          </w:r>
          <w:r>
            <w:rPr>
              <w:sz w:val="24"/>
              <w:szCs w:val="24"/>
            </w:rPr>
            <w:t>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_Toc4617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（二）学科专业设置情况</w:t>
          </w:r>
          <w:r>
            <w:rPr>
              <w:sz w:val="24"/>
              <w:szCs w:val="24"/>
            </w:rPr>
            <w:tab/>
          </w:r>
          <w:r>
            <w:rPr>
              <w:sz w:val="24"/>
              <w:szCs w:val="24"/>
            </w:rPr>
            <w:fldChar w:fldCharType="begin"/>
          </w:r>
          <w:r>
            <w:rPr>
              <w:sz w:val="24"/>
              <w:szCs w:val="24"/>
            </w:rPr>
            <w:instrText xml:space="preserve"> PAGEREF _Toc4617 </w:instrText>
          </w:r>
          <w:r>
            <w:rPr>
              <w:sz w:val="24"/>
              <w:szCs w:val="24"/>
            </w:rPr>
            <w:fldChar w:fldCharType="separate"/>
          </w:r>
          <w:r>
            <w:rPr>
              <w:sz w:val="24"/>
              <w:szCs w:val="24"/>
            </w:rPr>
            <w:t>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_Toc2927 </w:instrText>
          </w:r>
          <w:r>
            <w:rPr>
              <w:rFonts w:hint="eastAsia" w:ascii="黑体" w:hAnsi="黑体" w:eastAsia="黑体" w:cs="黑体"/>
              <w:sz w:val="24"/>
              <w:szCs w:val="24"/>
            </w:rPr>
            <w:fldChar w:fldCharType="separate"/>
          </w:r>
          <w:r>
            <w:rPr>
              <w:rFonts w:hint="eastAsia" w:ascii="黑体" w:hAnsi="黑体" w:eastAsia="黑体" w:cstheme="majorBidi"/>
              <w:bCs/>
              <w:kern w:val="2"/>
              <w:sz w:val="24"/>
              <w:szCs w:val="24"/>
              <w:lang w:val="en-US" w:eastAsia="zh-CN" w:bidi="ar-SA"/>
            </w:rPr>
            <w:t>（三）在校生规模</w:t>
          </w:r>
          <w:r>
            <w:rPr>
              <w:sz w:val="24"/>
              <w:szCs w:val="24"/>
            </w:rPr>
            <w:tab/>
          </w:r>
          <w:r>
            <w:rPr>
              <w:sz w:val="24"/>
              <w:szCs w:val="24"/>
            </w:rPr>
            <w:fldChar w:fldCharType="begin"/>
          </w:r>
          <w:r>
            <w:rPr>
              <w:sz w:val="24"/>
              <w:szCs w:val="24"/>
            </w:rPr>
            <w:instrText xml:space="preserve"> PAGEREF _Toc2927 </w:instrText>
          </w:r>
          <w:r>
            <w:rPr>
              <w:sz w:val="24"/>
              <w:szCs w:val="24"/>
            </w:rPr>
            <w:fldChar w:fldCharType="separate"/>
          </w:r>
          <w:r>
            <w:rPr>
              <w:sz w:val="24"/>
              <w:szCs w:val="24"/>
            </w:rPr>
            <w:t>4</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_Toc13160 </w:instrText>
          </w:r>
          <w:r>
            <w:rPr>
              <w:rFonts w:hint="eastAsia" w:ascii="黑体" w:hAnsi="黑体" w:eastAsia="黑体" w:cs="黑体"/>
              <w:sz w:val="24"/>
              <w:szCs w:val="24"/>
            </w:rPr>
            <w:fldChar w:fldCharType="separate"/>
          </w:r>
          <w:r>
            <w:rPr>
              <w:rFonts w:hint="eastAsia" w:ascii="黑体" w:hAnsi="黑体" w:eastAsia="黑体"/>
              <w:sz w:val="24"/>
              <w:szCs w:val="24"/>
            </w:rPr>
            <w:t>（四）本科生生源质量</w:t>
          </w:r>
          <w:r>
            <w:rPr>
              <w:sz w:val="24"/>
              <w:szCs w:val="24"/>
            </w:rPr>
            <w:tab/>
          </w:r>
          <w:r>
            <w:rPr>
              <w:sz w:val="24"/>
              <w:szCs w:val="24"/>
            </w:rPr>
            <w:fldChar w:fldCharType="begin"/>
          </w:r>
          <w:r>
            <w:rPr>
              <w:sz w:val="24"/>
              <w:szCs w:val="24"/>
            </w:rPr>
            <w:instrText xml:space="preserve"> PAGEREF _Toc13160 </w:instrText>
          </w:r>
          <w:r>
            <w:rPr>
              <w:sz w:val="24"/>
              <w:szCs w:val="24"/>
            </w:rPr>
            <w:fldChar w:fldCharType="separate"/>
          </w:r>
          <w:r>
            <w:rPr>
              <w:sz w:val="24"/>
              <w:szCs w:val="24"/>
            </w:rPr>
            <w:t>5</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_Toc15341 </w:instrText>
          </w:r>
          <w:r>
            <w:rPr>
              <w:rFonts w:hint="eastAsia" w:ascii="黑体" w:hAnsi="黑体" w:eastAsia="黑体" w:cs="黑体"/>
              <w:sz w:val="24"/>
              <w:szCs w:val="24"/>
            </w:rPr>
            <w:fldChar w:fldCharType="separate"/>
          </w:r>
          <w:r>
            <w:rPr>
              <w:rFonts w:hint="eastAsia" w:ascii="黑体" w:hAnsi="黑体" w:eastAsia="黑体"/>
              <w:sz w:val="24"/>
              <w:szCs w:val="24"/>
            </w:rPr>
            <w:t>二、师资与教学条件</w:t>
          </w:r>
          <w:r>
            <w:rPr>
              <w:sz w:val="24"/>
              <w:szCs w:val="24"/>
            </w:rPr>
            <w:tab/>
          </w:r>
          <w:r>
            <w:rPr>
              <w:sz w:val="24"/>
              <w:szCs w:val="24"/>
            </w:rPr>
            <w:fldChar w:fldCharType="begin"/>
          </w:r>
          <w:r>
            <w:rPr>
              <w:sz w:val="24"/>
              <w:szCs w:val="24"/>
            </w:rPr>
            <w:instrText xml:space="preserve"> PAGEREF _Toc15341 </w:instrText>
          </w:r>
          <w:r>
            <w:rPr>
              <w:sz w:val="24"/>
              <w:szCs w:val="24"/>
            </w:rPr>
            <w:fldChar w:fldCharType="separate"/>
          </w:r>
          <w:r>
            <w:rPr>
              <w:sz w:val="24"/>
              <w:szCs w:val="24"/>
            </w:rPr>
            <w:t>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_Toc10814 </w:instrText>
          </w:r>
          <w:r>
            <w:rPr>
              <w:rFonts w:hint="eastAsia" w:ascii="黑体" w:hAnsi="黑体" w:eastAsia="黑体" w:cs="黑体"/>
              <w:sz w:val="24"/>
              <w:szCs w:val="24"/>
            </w:rPr>
            <w:fldChar w:fldCharType="separate"/>
          </w:r>
          <w:r>
            <w:rPr>
              <w:rFonts w:hint="eastAsia" w:ascii="黑体" w:hAnsi="黑体" w:eastAsia="黑体"/>
              <w:sz w:val="24"/>
              <w:szCs w:val="24"/>
            </w:rPr>
            <w:t>（一）师资队伍</w:t>
          </w:r>
          <w:r>
            <w:rPr>
              <w:sz w:val="24"/>
              <w:szCs w:val="24"/>
            </w:rPr>
            <w:tab/>
          </w:r>
          <w:r>
            <w:rPr>
              <w:sz w:val="24"/>
              <w:szCs w:val="24"/>
            </w:rPr>
            <w:fldChar w:fldCharType="begin"/>
          </w:r>
          <w:r>
            <w:rPr>
              <w:sz w:val="24"/>
              <w:szCs w:val="24"/>
            </w:rPr>
            <w:instrText xml:space="preserve"> PAGEREF _Toc10814 </w:instrText>
          </w:r>
          <w:r>
            <w:rPr>
              <w:sz w:val="24"/>
              <w:szCs w:val="24"/>
            </w:rPr>
            <w:fldChar w:fldCharType="separate"/>
          </w:r>
          <w:r>
            <w:rPr>
              <w:sz w:val="24"/>
              <w:szCs w:val="24"/>
            </w:rPr>
            <w:t>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_Toc27679 </w:instrText>
          </w:r>
          <w:r>
            <w:rPr>
              <w:rFonts w:hint="eastAsia" w:ascii="黑体" w:hAnsi="黑体" w:eastAsia="黑体" w:cs="黑体"/>
              <w:sz w:val="24"/>
              <w:szCs w:val="24"/>
            </w:rPr>
            <w:fldChar w:fldCharType="separate"/>
          </w:r>
          <w:r>
            <w:rPr>
              <w:rFonts w:hint="eastAsia" w:ascii="黑体" w:hAnsi="黑体" w:eastAsia="黑体"/>
              <w:sz w:val="24"/>
              <w:szCs w:val="24"/>
            </w:rPr>
            <w:t>（二）本科主讲教师情况</w:t>
          </w:r>
          <w:r>
            <w:rPr>
              <w:sz w:val="24"/>
              <w:szCs w:val="24"/>
            </w:rPr>
            <w:tab/>
          </w:r>
          <w:r>
            <w:rPr>
              <w:sz w:val="24"/>
              <w:szCs w:val="24"/>
            </w:rPr>
            <w:fldChar w:fldCharType="begin"/>
          </w:r>
          <w:r>
            <w:rPr>
              <w:sz w:val="24"/>
              <w:szCs w:val="24"/>
            </w:rPr>
            <w:instrText xml:space="preserve"> PAGEREF _Toc27679 </w:instrText>
          </w:r>
          <w:r>
            <w:rPr>
              <w:sz w:val="24"/>
              <w:szCs w:val="24"/>
            </w:rPr>
            <w:fldChar w:fldCharType="separate"/>
          </w:r>
          <w:r>
            <w:rPr>
              <w:sz w:val="24"/>
              <w:szCs w:val="24"/>
            </w:rPr>
            <w:t>11</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_Toc21166 </w:instrText>
          </w:r>
          <w:r>
            <w:rPr>
              <w:rFonts w:hint="eastAsia" w:ascii="黑体" w:hAnsi="黑体" w:eastAsia="黑体" w:cs="黑体"/>
              <w:sz w:val="24"/>
              <w:szCs w:val="24"/>
            </w:rPr>
            <w:fldChar w:fldCharType="separate"/>
          </w:r>
          <w:r>
            <w:rPr>
              <w:rFonts w:hint="eastAsia" w:ascii="黑体" w:hAnsi="黑体" w:eastAsia="黑体"/>
              <w:sz w:val="24"/>
              <w:szCs w:val="24"/>
            </w:rPr>
            <w:t>（三）教学经费投入情况</w:t>
          </w:r>
          <w:r>
            <w:rPr>
              <w:sz w:val="24"/>
              <w:szCs w:val="24"/>
            </w:rPr>
            <w:tab/>
          </w:r>
          <w:r>
            <w:rPr>
              <w:sz w:val="24"/>
              <w:szCs w:val="24"/>
            </w:rPr>
            <w:fldChar w:fldCharType="begin"/>
          </w:r>
          <w:r>
            <w:rPr>
              <w:sz w:val="24"/>
              <w:szCs w:val="24"/>
            </w:rPr>
            <w:instrText xml:space="preserve"> PAGEREF _Toc21166 </w:instrText>
          </w:r>
          <w:r>
            <w:rPr>
              <w:sz w:val="24"/>
              <w:szCs w:val="24"/>
            </w:rPr>
            <w:fldChar w:fldCharType="separate"/>
          </w:r>
          <w:r>
            <w:rPr>
              <w:sz w:val="24"/>
              <w:szCs w:val="24"/>
            </w:rPr>
            <w:t>13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_Toc25180 </w:instrText>
          </w:r>
          <w:r>
            <w:rPr>
              <w:rFonts w:hint="eastAsia" w:ascii="黑体" w:hAnsi="黑体" w:eastAsia="黑体" w:cs="黑体"/>
              <w:sz w:val="24"/>
              <w:szCs w:val="24"/>
            </w:rPr>
            <w:fldChar w:fldCharType="separate"/>
          </w:r>
          <w:r>
            <w:rPr>
              <w:rFonts w:hint="eastAsia" w:ascii="黑体" w:hAnsi="黑体" w:eastAsia="黑体"/>
              <w:sz w:val="24"/>
              <w:szCs w:val="24"/>
            </w:rPr>
            <w:t>（四）教学设施应用情况</w:t>
          </w:r>
          <w:r>
            <w:rPr>
              <w:sz w:val="24"/>
              <w:szCs w:val="24"/>
            </w:rPr>
            <w:tab/>
          </w:r>
          <w:r>
            <w:rPr>
              <w:sz w:val="24"/>
              <w:szCs w:val="24"/>
            </w:rPr>
            <w:fldChar w:fldCharType="begin"/>
          </w:r>
          <w:r>
            <w:rPr>
              <w:sz w:val="24"/>
              <w:szCs w:val="24"/>
            </w:rPr>
            <w:instrText xml:space="preserve"> PAGEREF _Toc25180 </w:instrText>
          </w:r>
          <w:r>
            <w:rPr>
              <w:sz w:val="24"/>
              <w:szCs w:val="24"/>
            </w:rPr>
            <w:fldChar w:fldCharType="separate"/>
          </w:r>
          <w:r>
            <w:rPr>
              <w:sz w:val="24"/>
              <w:szCs w:val="24"/>
            </w:rPr>
            <w:t>13</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_Toc20847 </w:instrText>
          </w:r>
          <w:r>
            <w:rPr>
              <w:rFonts w:hint="eastAsia" w:ascii="黑体" w:hAnsi="黑体" w:eastAsia="黑体" w:cs="黑体"/>
              <w:sz w:val="24"/>
              <w:szCs w:val="24"/>
            </w:rPr>
            <w:fldChar w:fldCharType="separate"/>
          </w:r>
          <w:r>
            <w:rPr>
              <w:rFonts w:hint="eastAsia" w:ascii="黑体" w:hAnsi="黑体" w:eastAsia="黑体" w:cs="黑体"/>
              <w:sz w:val="24"/>
              <w:szCs w:val="24"/>
            </w:rPr>
            <w:t>三、教学建设与改革</w:t>
          </w:r>
          <w:r>
            <w:rPr>
              <w:sz w:val="24"/>
              <w:szCs w:val="24"/>
            </w:rPr>
            <w:tab/>
          </w:r>
          <w:r>
            <w:rPr>
              <w:sz w:val="24"/>
              <w:szCs w:val="24"/>
            </w:rPr>
            <w:fldChar w:fldCharType="begin"/>
          </w:r>
          <w:r>
            <w:rPr>
              <w:sz w:val="24"/>
              <w:szCs w:val="24"/>
            </w:rPr>
            <w:instrText xml:space="preserve"> PAGEREF _Toc20847 </w:instrText>
          </w:r>
          <w:r>
            <w:rPr>
              <w:sz w:val="24"/>
              <w:szCs w:val="24"/>
            </w:rPr>
            <w:fldChar w:fldCharType="separate"/>
          </w:r>
          <w:r>
            <w:rPr>
              <w:sz w:val="24"/>
              <w:szCs w:val="24"/>
            </w:rPr>
            <w:t>18</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_Toc12627 </w:instrText>
          </w:r>
          <w:r>
            <w:rPr>
              <w:rFonts w:hint="eastAsia" w:ascii="黑体" w:hAnsi="黑体" w:eastAsia="黑体" w:cs="黑体"/>
              <w:sz w:val="24"/>
              <w:szCs w:val="24"/>
            </w:rPr>
            <w:fldChar w:fldCharType="separate"/>
          </w:r>
          <w:r>
            <w:rPr>
              <w:rFonts w:hint="eastAsia" w:ascii="黑体" w:hAnsi="黑体" w:eastAsia="黑体"/>
              <w:sz w:val="24"/>
              <w:szCs w:val="24"/>
            </w:rPr>
            <w:t>（一）专业建设</w:t>
          </w:r>
          <w:r>
            <w:rPr>
              <w:sz w:val="24"/>
              <w:szCs w:val="24"/>
            </w:rPr>
            <w:tab/>
          </w:r>
          <w:r>
            <w:rPr>
              <w:sz w:val="24"/>
              <w:szCs w:val="24"/>
            </w:rPr>
            <w:fldChar w:fldCharType="begin"/>
          </w:r>
          <w:r>
            <w:rPr>
              <w:sz w:val="24"/>
              <w:szCs w:val="24"/>
            </w:rPr>
            <w:instrText xml:space="preserve"> PAGEREF _Toc12627 </w:instrText>
          </w:r>
          <w:r>
            <w:rPr>
              <w:sz w:val="24"/>
              <w:szCs w:val="24"/>
            </w:rPr>
            <w:fldChar w:fldCharType="separate"/>
          </w:r>
          <w:r>
            <w:rPr>
              <w:sz w:val="24"/>
              <w:szCs w:val="24"/>
            </w:rPr>
            <w:t>18</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_Toc13307 </w:instrText>
          </w:r>
          <w:r>
            <w:rPr>
              <w:rFonts w:hint="eastAsia" w:ascii="黑体" w:hAnsi="黑体" w:eastAsia="黑体" w:cs="黑体"/>
              <w:sz w:val="24"/>
              <w:szCs w:val="24"/>
            </w:rPr>
            <w:fldChar w:fldCharType="separate"/>
          </w:r>
          <w:r>
            <w:rPr>
              <w:rFonts w:hint="eastAsia" w:ascii="黑体" w:hAnsi="黑体" w:eastAsia="黑体"/>
              <w:sz w:val="24"/>
              <w:szCs w:val="24"/>
            </w:rPr>
            <w:t>（二）课程建设</w:t>
          </w:r>
          <w:r>
            <w:rPr>
              <w:sz w:val="24"/>
              <w:szCs w:val="24"/>
            </w:rPr>
            <w:tab/>
          </w:r>
          <w:r>
            <w:rPr>
              <w:sz w:val="24"/>
              <w:szCs w:val="24"/>
            </w:rPr>
            <w:fldChar w:fldCharType="begin"/>
          </w:r>
          <w:r>
            <w:rPr>
              <w:sz w:val="24"/>
              <w:szCs w:val="24"/>
            </w:rPr>
            <w:instrText xml:space="preserve"> PAGEREF _Toc13307 </w:instrText>
          </w:r>
          <w:r>
            <w:rPr>
              <w:sz w:val="24"/>
              <w:szCs w:val="24"/>
            </w:rPr>
            <w:fldChar w:fldCharType="separate"/>
          </w:r>
          <w:r>
            <w:rPr>
              <w:sz w:val="24"/>
              <w:szCs w:val="24"/>
            </w:rPr>
            <w:t>19</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_Toc2040 </w:instrText>
          </w:r>
          <w:r>
            <w:rPr>
              <w:rFonts w:hint="eastAsia" w:ascii="黑体" w:hAnsi="黑体" w:eastAsia="黑体" w:cs="黑体"/>
              <w:sz w:val="24"/>
              <w:szCs w:val="24"/>
            </w:rPr>
            <w:fldChar w:fldCharType="separate"/>
          </w:r>
          <w:r>
            <w:rPr>
              <w:rFonts w:hint="eastAsia" w:ascii="黑体" w:hAnsi="黑体" w:eastAsia="黑体"/>
              <w:sz w:val="24"/>
              <w:szCs w:val="24"/>
            </w:rPr>
            <w:t>（三）教材建设</w:t>
          </w:r>
          <w:r>
            <w:rPr>
              <w:sz w:val="24"/>
              <w:szCs w:val="24"/>
            </w:rPr>
            <w:tab/>
          </w:r>
          <w:r>
            <w:rPr>
              <w:sz w:val="24"/>
              <w:szCs w:val="24"/>
            </w:rPr>
            <w:fldChar w:fldCharType="begin"/>
          </w:r>
          <w:r>
            <w:rPr>
              <w:sz w:val="24"/>
              <w:szCs w:val="24"/>
            </w:rPr>
            <w:instrText xml:space="preserve"> PAGEREF _Toc2040 </w:instrText>
          </w:r>
          <w:r>
            <w:rPr>
              <w:sz w:val="24"/>
              <w:szCs w:val="24"/>
            </w:rPr>
            <w:fldChar w:fldCharType="separate"/>
          </w:r>
          <w:r>
            <w:rPr>
              <w:sz w:val="24"/>
              <w:szCs w:val="24"/>
            </w:rPr>
            <w:t>21</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_Toc28499 </w:instrText>
          </w:r>
          <w:r>
            <w:rPr>
              <w:rFonts w:hint="eastAsia" w:ascii="黑体" w:hAnsi="黑体" w:eastAsia="黑体" w:cs="黑体"/>
              <w:sz w:val="24"/>
              <w:szCs w:val="24"/>
            </w:rPr>
            <w:fldChar w:fldCharType="separate"/>
          </w:r>
          <w:r>
            <w:rPr>
              <w:rFonts w:hint="eastAsia" w:ascii="黑体" w:hAnsi="黑体" w:eastAsia="黑体"/>
              <w:sz w:val="24"/>
              <w:szCs w:val="24"/>
            </w:rPr>
            <w:t>（四）实践教学</w:t>
          </w:r>
          <w:r>
            <w:rPr>
              <w:sz w:val="24"/>
              <w:szCs w:val="24"/>
            </w:rPr>
            <w:tab/>
          </w:r>
          <w:r>
            <w:rPr>
              <w:sz w:val="24"/>
              <w:szCs w:val="24"/>
            </w:rPr>
            <w:fldChar w:fldCharType="begin"/>
          </w:r>
          <w:r>
            <w:rPr>
              <w:sz w:val="24"/>
              <w:szCs w:val="24"/>
            </w:rPr>
            <w:instrText xml:space="preserve"> PAGEREF _Toc28499 </w:instrText>
          </w:r>
          <w:r>
            <w:rPr>
              <w:sz w:val="24"/>
              <w:szCs w:val="24"/>
            </w:rPr>
            <w:fldChar w:fldCharType="separate"/>
          </w:r>
          <w:r>
            <w:rPr>
              <w:sz w:val="24"/>
              <w:szCs w:val="24"/>
            </w:rPr>
            <w:t>21</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_Toc27063 </w:instrText>
          </w:r>
          <w:r>
            <w:rPr>
              <w:rFonts w:hint="eastAsia" w:ascii="黑体" w:hAnsi="黑体" w:eastAsia="黑体" w:cs="黑体"/>
              <w:sz w:val="24"/>
              <w:szCs w:val="24"/>
            </w:rPr>
            <w:fldChar w:fldCharType="separate"/>
          </w:r>
          <w:r>
            <w:rPr>
              <w:rFonts w:hint="eastAsia" w:ascii="黑体" w:hAnsi="黑体" w:eastAsia="黑体"/>
              <w:sz w:val="24"/>
              <w:szCs w:val="24"/>
            </w:rPr>
            <w:t>（五）创新创业教育</w:t>
          </w:r>
          <w:r>
            <w:rPr>
              <w:sz w:val="24"/>
              <w:szCs w:val="24"/>
            </w:rPr>
            <w:tab/>
          </w:r>
          <w:r>
            <w:rPr>
              <w:sz w:val="24"/>
              <w:szCs w:val="24"/>
            </w:rPr>
            <w:fldChar w:fldCharType="begin"/>
          </w:r>
          <w:r>
            <w:rPr>
              <w:sz w:val="24"/>
              <w:szCs w:val="24"/>
            </w:rPr>
            <w:instrText xml:space="preserve"> PAGEREF _Toc27063 </w:instrText>
          </w:r>
          <w:r>
            <w:rPr>
              <w:sz w:val="24"/>
              <w:szCs w:val="24"/>
            </w:rPr>
            <w:fldChar w:fldCharType="separate"/>
          </w:r>
          <w:r>
            <w:rPr>
              <w:sz w:val="24"/>
              <w:szCs w:val="24"/>
            </w:rPr>
            <w:t>25</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_Toc6622 </w:instrText>
          </w:r>
          <w:r>
            <w:rPr>
              <w:rFonts w:hint="eastAsia" w:ascii="黑体" w:hAnsi="黑体" w:eastAsia="黑体" w:cs="黑体"/>
              <w:sz w:val="24"/>
              <w:szCs w:val="24"/>
            </w:rPr>
            <w:fldChar w:fldCharType="separate"/>
          </w:r>
          <w:r>
            <w:rPr>
              <w:rFonts w:hint="eastAsia" w:ascii="黑体" w:hAnsi="黑体" w:eastAsia="黑体"/>
              <w:sz w:val="24"/>
              <w:szCs w:val="24"/>
            </w:rPr>
            <w:t>（六）教学改革</w:t>
          </w:r>
          <w:r>
            <w:rPr>
              <w:sz w:val="24"/>
              <w:szCs w:val="24"/>
            </w:rPr>
            <w:tab/>
          </w:r>
          <w:r>
            <w:rPr>
              <w:sz w:val="24"/>
              <w:szCs w:val="24"/>
            </w:rPr>
            <w:fldChar w:fldCharType="begin"/>
          </w:r>
          <w:r>
            <w:rPr>
              <w:sz w:val="24"/>
              <w:szCs w:val="24"/>
            </w:rPr>
            <w:instrText xml:space="preserve"> PAGEREF _Toc6622 </w:instrText>
          </w:r>
          <w:r>
            <w:rPr>
              <w:sz w:val="24"/>
              <w:szCs w:val="24"/>
            </w:rPr>
            <w:fldChar w:fldCharType="separate"/>
          </w:r>
          <w:r>
            <w:rPr>
              <w:sz w:val="24"/>
              <w:szCs w:val="24"/>
            </w:rPr>
            <w:t>26</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ind w:left="0" w:leftChars="0" w:firstLine="0" w:firstLineChars="0"/>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_Toc22881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w:t>
          </w:r>
          <w:r>
            <w:rPr>
              <w:rFonts w:hint="eastAsia" w:ascii="黑体" w:hAnsi="黑体" w:eastAsia="黑体" w:cs="黑体"/>
              <w:sz w:val="24"/>
              <w:szCs w:val="24"/>
            </w:rPr>
            <w:t>、质量保障体系</w:t>
          </w:r>
          <w:r>
            <w:rPr>
              <w:sz w:val="24"/>
              <w:szCs w:val="24"/>
            </w:rPr>
            <w:tab/>
          </w:r>
          <w:r>
            <w:rPr>
              <w:sz w:val="24"/>
              <w:szCs w:val="24"/>
            </w:rPr>
            <w:fldChar w:fldCharType="begin"/>
          </w:r>
          <w:r>
            <w:rPr>
              <w:sz w:val="24"/>
              <w:szCs w:val="24"/>
            </w:rPr>
            <w:instrText xml:space="preserve"> PAGEREF _Toc22881 </w:instrText>
          </w:r>
          <w:r>
            <w:rPr>
              <w:sz w:val="24"/>
              <w:szCs w:val="24"/>
            </w:rPr>
            <w:fldChar w:fldCharType="separate"/>
          </w:r>
          <w:r>
            <w:rPr>
              <w:sz w:val="24"/>
              <w:szCs w:val="24"/>
            </w:rPr>
            <w:t>29</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_Toc24866 </w:instrText>
          </w:r>
          <w:r>
            <w:rPr>
              <w:rFonts w:hint="eastAsia" w:ascii="黑体" w:hAnsi="黑体" w:eastAsia="黑体" w:cs="黑体"/>
              <w:sz w:val="24"/>
              <w:szCs w:val="24"/>
            </w:rPr>
            <w:fldChar w:fldCharType="separate"/>
          </w:r>
          <w:r>
            <w:rPr>
              <w:rFonts w:hint="eastAsia" w:ascii="黑体" w:hAnsi="黑体" w:eastAsia="黑体" w:cs="黑体"/>
              <w:sz w:val="24"/>
              <w:szCs w:val="24"/>
            </w:rPr>
            <w:t>（一）教学中心地位</w:t>
          </w:r>
          <w:r>
            <w:rPr>
              <w:sz w:val="24"/>
              <w:szCs w:val="24"/>
            </w:rPr>
            <w:tab/>
          </w:r>
          <w:r>
            <w:rPr>
              <w:sz w:val="24"/>
              <w:szCs w:val="24"/>
            </w:rPr>
            <w:fldChar w:fldCharType="begin"/>
          </w:r>
          <w:r>
            <w:rPr>
              <w:sz w:val="24"/>
              <w:szCs w:val="24"/>
            </w:rPr>
            <w:instrText xml:space="preserve"> PAGEREF _Toc24866 </w:instrText>
          </w:r>
          <w:r>
            <w:rPr>
              <w:sz w:val="24"/>
              <w:szCs w:val="24"/>
            </w:rPr>
            <w:fldChar w:fldCharType="separate"/>
          </w:r>
          <w:r>
            <w:rPr>
              <w:sz w:val="24"/>
              <w:szCs w:val="24"/>
            </w:rPr>
            <w:t>29</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_Toc5236 </w:instrText>
          </w:r>
          <w:r>
            <w:rPr>
              <w:rFonts w:hint="eastAsia" w:ascii="黑体" w:hAnsi="黑体" w:eastAsia="黑体" w:cs="黑体"/>
              <w:sz w:val="24"/>
              <w:szCs w:val="24"/>
            </w:rPr>
            <w:fldChar w:fldCharType="separate"/>
          </w:r>
          <w:r>
            <w:rPr>
              <w:rFonts w:hint="eastAsia" w:ascii="黑体" w:hAnsi="黑体" w:eastAsia="黑体" w:cs="黑体"/>
              <w:sz w:val="24"/>
              <w:szCs w:val="24"/>
            </w:rPr>
            <w:t>（二）质量保障体系</w:t>
          </w:r>
          <w:r>
            <w:rPr>
              <w:sz w:val="24"/>
              <w:szCs w:val="24"/>
            </w:rPr>
            <w:tab/>
          </w:r>
          <w:r>
            <w:rPr>
              <w:sz w:val="24"/>
              <w:szCs w:val="24"/>
            </w:rPr>
            <w:fldChar w:fldCharType="begin"/>
          </w:r>
          <w:r>
            <w:rPr>
              <w:sz w:val="24"/>
              <w:szCs w:val="24"/>
            </w:rPr>
            <w:instrText xml:space="preserve"> PAGEREF _Toc5236 </w:instrText>
          </w:r>
          <w:r>
            <w:rPr>
              <w:sz w:val="24"/>
              <w:szCs w:val="24"/>
            </w:rPr>
            <w:fldChar w:fldCharType="separate"/>
          </w:r>
          <w:r>
            <w:rPr>
              <w:sz w:val="24"/>
              <w:szCs w:val="24"/>
            </w:rPr>
            <w:t>30</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_Toc620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（三）质量管理措施</w:t>
          </w:r>
          <w:r>
            <w:rPr>
              <w:rFonts w:hint="eastAsia"/>
              <w:sz w:val="24"/>
              <w:szCs w:val="24"/>
            </w:rPr>
            <w:t xml:space="preserve"> </w:t>
          </w:r>
          <w:r>
            <w:rPr>
              <w:sz w:val="24"/>
              <w:szCs w:val="24"/>
            </w:rPr>
            <w:tab/>
          </w:r>
          <w:r>
            <w:rPr>
              <w:sz w:val="24"/>
              <w:szCs w:val="24"/>
            </w:rPr>
            <w:fldChar w:fldCharType="begin"/>
          </w:r>
          <w:r>
            <w:rPr>
              <w:sz w:val="24"/>
              <w:szCs w:val="24"/>
            </w:rPr>
            <w:instrText xml:space="preserve"> PAGEREF _Toc620 </w:instrText>
          </w:r>
          <w:r>
            <w:rPr>
              <w:sz w:val="24"/>
              <w:szCs w:val="24"/>
            </w:rPr>
            <w:fldChar w:fldCharType="separate"/>
          </w:r>
          <w:r>
            <w:rPr>
              <w:sz w:val="24"/>
              <w:szCs w:val="24"/>
            </w:rPr>
            <w:t>32</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_Toc10667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（四）信息利用和质量改进</w:t>
          </w:r>
          <w:r>
            <w:rPr>
              <w:sz w:val="24"/>
              <w:szCs w:val="24"/>
            </w:rPr>
            <w:tab/>
          </w:r>
          <w:r>
            <w:rPr>
              <w:sz w:val="24"/>
              <w:szCs w:val="24"/>
            </w:rPr>
            <w:fldChar w:fldCharType="begin"/>
          </w:r>
          <w:r>
            <w:rPr>
              <w:sz w:val="24"/>
              <w:szCs w:val="24"/>
            </w:rPr>
            <w:instrText xml:space="preserve"> PAGEREF _Toc10667 </w:instrText>
          </w:r>
          <w:r>
            <w:rPr>
              <w:sz w:val="24"/>
              <w:szCs w:val="24"/>
            </w:rPr>
            <w:fldChar w:fldCharType="separate"/>
          </w:r>
          <w:r>
            <w:rPr>
              <w:sz w:val="24"/>
              <w:szCs w:val="24"/>
            </w:rPr>
            <w:t>35</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_Toc1447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五</w:t>
          </w:r>
          <w:r>
            <w:rPr>
              <w:rFonts w:hint="eastAsia" w:ascii="黑体" w:hAnsi="黑体" w:eastAsia="黑体"/>
              <w:sz w:val="24"/>
              <w:szCs w:val="24"/>
            </w:rPr>
            <w:t>、学生学习效果</w:t>
          </w:r>
          <w:r>
            <w:rPr>
              <w:sz w:val="24"/>
              <w:szCs w:val="24"/>
            </w:rPr>
            <w:tab/>
          </w:r>
          <w:r>
            <w:rPr>
              <w:sz w:val="24"/>
              <w:szCs w:val="24"/>
            </w:rPr>
            <w:fldChar w:fldCharType="begin"/>
          </w:r>
          <w:r>
            <w:rPr>
              <w:sz w:val="24"/>
              <w:szCs w:val="24"/>
            </w:rPr>
            <w:instrText xml:space="preserve"> PAGEREF _Toc1447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_Toc19702 </w:instrText>
          </w:r>
          <w:r>
            <w:rPr>
              <w:rFonts w:hint="eastAsia" w:ascii="黑体" w:hAnsi="黑体" w:eastAsia="黑体" w:cs="黑体"/>
              <w:sz w:val="24"/>
              <w:szCs w:val="24"/>
            </w:rPr>
            <w:fldChar w:fldCharType="separate"/>
          </w:r>
          <w:r>
            <w:rPr>
              <w:rFonts w:hint="eastAsia" w:ascii="黑体" w:hAnsi="黑体" w:eastAsia="黑体"/>
              <w:sz w:val="24"/>
              <w:szCs w:val="24"/>
            </w:rPr>
            <w:t>（一）毕业情况</w:t>
          </w:r>
          <w:r>
            <w:rPr>
              <w:sz w:val="24"/>
              <w:szCs w:val="24"/>
            </w:rPr>
            <w:tab/>
          </w:r>
          <w:r>
            <w:rPr>
              <w:sz w:val="24"/>
              <w:szCs w:val="24"/>
            </w:rPr>
            <w:fldChar w:fldCharType="begin"/>
          </w:r>
          <w:r>
            <w:rPr>
              <w:sz w:val="24"/>
              <w:szCs w:val="24"/>
            </w:rPr>
            <w:instrText xml:space="preserve"> PAGEREF _Toc19702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_Toc13293 </w:instrText>
          </w:r>
          <w:r>
            <w:rPr>
              <w:rFonts w:hint="eastAsia" w:ascii="黑体" w:hAnsi="黑体" w:eastAsia="黑体" w:cs="黑体"/>
              <w:sz w:val="24"/>
              <w:szCs w:val="24"/>
            </w:rPr>
            <w:fldChar w:fldCharType="separate"/>
          </w:r>
          <w:r>
            <w:rPr>
              <w:rFonts w:hint="eastAsia" w:ascii="黑体" w:hAnsi="黑体" w:eastAsia="黑体"/>
              <w:sz w:val="24"/>
              <w:szCs w:val="24"/>
            </w:rPr>
            <w:t>（二）就业情况</w:t>
          </w:r>
          <w:r>
            <w:rPr>
              <w:sz w:val="24"/>
              <w:szCs w:val="24"/>
            </w:rPr>
            <w:tab/>
          </w:r>
          <w:r>
            <w:rPr>
              <w:sz w:val="24"/>
              <w:szCs w:val="24"/>
            </w:rPr>
            <w:fldChar w:fldCharType="begin"/>
          </w:r>
          <w:r>
            <w:rPr>
              <w:sz w:val="24"/>
              <w:szCs w:val="24"/>
            </w:rPr>
            <w:instrText xml:space="preserve"> PAGEREF _Toc13293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_Toc7244 </w:instrText>
          </w:r>
          <w:r>
            <w:rPr>
              <w:rFonts w:hint="eastAsia" w:ascii="黑体" w:hAnsi="黑体" w:eastAsia="黑体" w:cs="黑体"/>
              <w:sz w:val="24"/>
              <w:szCs w:val="24"/>
            </w:rPr>
            <w:fldChar w:fldCharType="separate"/>
          </w:r>
          <w:r>
            <w:rPr>
              <w:rFonts w:hint="eastAsia" w:ascii="黑体" w:hAnsi="黑体" w:eastAsia="黑体"/>
              <w:sz w:val="24"/>
              <w:szCs w:val="24"/>
            </w:rPr>
            <w:t>（三）转专业与辅修情况</w:t>
          </w:r>
          <w:r>
            <w:rPr>
              <w:sz w:val="24"/>
              <w:szCs w:val="24"/>
            </w:rPr>
            <w:tab/>
          </w:r>
          <w:r>
            <w:rPr>
              <w:sz w:val="24"/>
              <w:szCs w:val="24"/>
            </w:rPr>
            <w:fldChar w:fldCharType="begin"/>
          </w:r>
          <w:r>
            <w:rPr>
              <w:sz w:val="24"/>
              <w:szCs w:val="24"/>
            </w:rPr>
            <w:instrText xml:space="preserve"> PAGEREF _Toc7244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_Toc20375 </w:instrText>
          </w:r>
          <w:r>
            <w:rPr>
              <w:rFonts w:hint="eastAsia" w:ascii="黑体" w:hAnsi="黑体" w:eastAsia="黑体" w:cs="黑体"/>
              <w:sz w:val="24"/>
              <w:szCs w:val="24"/>
            </w:rPr>
            <w:fldChar w:fldCharType="separate"/>
          </w:r>
          <w:r>
            <w:rPr>
              <w:rFonts w:hint="eastAsia" w:ascii="黑体" w:hAnsi="黑体" w:eastAsia="黑体"/>
              <w:sz w:val="24"/>
              <w:szCs w:val="24"/>
            </w:rPr>
            <w:t>（</w:t>
          </w:r>
          <w:r>
            <w:rPr>
              <w:rFonts w:hint="eastAsia" w:ascii="黑体" w:hAnsi="黑体" w:eastAsia="黑体"/>
              <w:sz w:val="24"/>
              <w:szCs w:val="24"/>
              <w:lang w:val="en-US" w:eastAsia="zh-CN"/>
            </w:rPr>
            <w:t>四</w:t>
          </w:r>
          <w:r>
            <w:rPr>
              <w:rFonts w:hint="eastAsia" w:ascii="黑体" w:hAnsi="黑体" w:eastAsia="黑体"/>
              <w:sz w:val="24"/>
              <w:szCs w:val="24"/>
            </w:rPr>
            <w:t>）</w:t>
          </w:r>
          <w:r>
            <w:rPr>
              <w:rFonts w:hint="eastAsia" w:ascii="黑体" w:hAnsi="黑体" w:eastAsia="黑体"/>
              <w:sz w:val="24"/>
              <w:szCs w:val="24"/>
              <w:lang w:val="en-US" w:eastAsia="zh-CN"/>
            </w:rPr>
            <w:t>学生学风与获奖</w:t>
          </w:r>
          <w:r>
            <w:rPr>
              <w:sz w:val="24"/>
              <w:szCs w:val="24"/>
            </w:rPr>
            <w:tab/>
          </w:r>
          <w:r>
            <w:rPr>
              <w:sz w:val="24"/>
              <w:szCs w:val="24"/>
            </w:rPr>
            <w:fldChar w:fldCharType="begin"/>
          </w:r>
          <w:r>
            <w:rPr>
              <w:sz w:val="24"/>
              <w:szCs w:val="24"/>
            </w:rPr>
            <w:instrText xml:space="preserve"> PAGEREF _Toc20375 </w:instrText>
          </w:r>
          <w:r>
            <w:rPr>
              <w:sz w:val="24"/>
              <w:szCs w:val="24"/>
            </w:rPr>
            <w:fldChar w:fldCharType="separate"/>
          </w:r>
          <w:r>
            <w:rPr>
              <w:sz w:val="24"/>
              <w:szCs w:val="24"/>
            </w:rPr>
            <w:t>38</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_Toc25587 </w:instrText>
          </w:r>
          <w:r>
            <w:rPr>
              <w:rFonts w:hint="eastAsia" w:ascii="黑体" w:hAnsi="黑体" w:eastAsia="黑体" w:cs="黑体"/>
              <w:sz w:val="24"/>
              <w:szCs w:val="24"/>
            </w:rPr>
            <w:fldChar w:fldCharType="separate"/>
          </w:r>
          <w:r>
            <w:rPr>
              <w:rFonts w:hint="eastAsia" w:ascii="黑体" w:hAnsi="黑体" w:eastAsia="黑体"/>
              <w:sz w:val="24"/>
              <w:szCs w:val="24"/>
            </w:rPr>
            <w:t>（</w:t>
          </w:r>
          <w:r>
            <w:rPr>
              <w:rFonts w:hint="eastAsia" w:ascii="黑体" w:hAnsi="黑体" w:eastAsia="黑体"/>
              <w:sz w:val="24"/>
              <w:szCs w:val="24"/>
              <w:lang w:val="en-US" w:eastAsia="zh-CN"/>
            </w:rPr>
            <w:t>五</w:t>
          </w:r>
          <w:r>
            <w:rPr>
              <w:rFonts w:hint="eastAsia" w:ascii="黑体" w:hAnsi="黑体" w:eastAsia="黑体"/>
              <w:sz w:val="24"/>
              <w:szCs w:val="24"/>
            </w:rPr>
            <w:t>）</w:t>
          </w:r>
          <w:r>
            <w:rPr>
              <w:rFonts w:hint="eastAsia" w:ascii="黑体" w:hAnsi="黑体" w:eastAsia="黑体"/>
              <w:sz w:val="24"/>
              <w:szCs w:val="24"/>
              <w:lang w:val="en-US" w:eastAsia="zh-CN"/>
            </w:rPr>
            <w:t>优秀校友展示</w:t>
          </w:r>
          <w:r>
            <w:rPr>
              <w:sz w:val="24"/>
              <w:szCs w:val="24"/>
            </w:rPr>
            <w:tab/>
          </w:r>
          <w:r>
            <w:rPr>
              <w:sz w:val="24"/>
              <w:szCs w:val="24"/>
            </w:rPr>
            <w:fldChar w:fldCharType="begin"/>
          </w:r>
          <w:r>
            <w:rPr>
              <w:sz w:val="24"/>
              <w:szCs w:val="24"/>
            </w:rPr>
            <w:instrText xml:space="preserve"> PAGEREF _Toc25587 </w:instrText>
          </w:r>
          <w:r>
            <w:rPr>
              <w:sz w:val="24"/>
              <w:szCs w:val="24"/>
            </w:rPr>
            <w:fldChar w:fldCharType="separate"/>
          </w:r>
          <w:r>
            <w:rPr>
              <w:sz w:val="24"/>
              <w:szCs w:val="24"/>
            </w:rPr>
            <w:t>41</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_Toc470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六</w:t>
          </w:r>
          <w:r>
            <w:rPr>
              <w:rFonts w:hint="eastAsia" w:ascii="黑体" w:hAnsi="黑体" w:eastAsia="黑体"/>
              <w:sz w:val="24"/>
              <w:szCs w:val="24"/>
            </w:rPr>
            <w:t>、特色发展</w:t>
          </w:r>
          <w:r>
            <w:rPr>
              <w:sz w:val="24"/>
              <w:szCs w:val="24"/>
            </w:rPr>
            <w:tab/>
          </w:r>
          <w:r>
            <w:rPr>
              <w:sz w:val="24"/>
              <w:szCs w:val="24"/>
            </w:rPr>
            <w:fldChar w:fldCharType="begin"/>
          </w:r>
          <w:r>
            <w:rPr>
              <w:sz w:val="24"/>
              <w:szCs w:val="24"/>
            </w:rPr>
            <w:instrText xml:space="preserve"> PAGEREF _Toc470 </w:instrText>
          </w:r>
          <w:r>
            <w:rPr>
              <w:sz w:val="24"/>
              <w:szCs w:val="24"/>
            </w:rPr>
            <w:fldChar w:fldCharType="separate"/>
          </w:r>
          <w:r>
            <w:rPr>
              <w:sz w:val="24"/>
              <w:szCs w:val="24"/>
            </w:rPr>
            <w:t>42</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_Toc9784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（一）深化教育教学改革，全力打造“双一流”</w:t>
          </w:r>
          <w:r>
            <w:rPr>
              <w:sz w:val="24"/>
              <w:szCs w:val="24"/>
            </w:rPr>
            <w:tab/>
          </w:r>
          <w:r>
            <w:rPr>
              <w:sz w:val="24"/>
              <w:szCs w:val="24"/>
            </w:rPr>
            <w:fldChar w:fldCharType="begin"/>
          </w:r>
          <w:r>
            <w:rPr>
              <w:sz w:val="24"/>
              <w:szCs w:val="24"/>
            </w:rPr>
            <w:instrText xml:space="preserve"> PAGEREF _Toc9784 </w:instrText>
          </w:r>
          <w:r>
            <w:rPr>
              <w:sz w:val="24"/>
              <w:szCs w:val="24"/>
            </w:rPr>
            <w:fldChar w:fldCharType="separate"/>
          </w:r>
          <w:r>
            <w:rPr>
              <w:sz w:val="24"/>
              <w:szCs w:val="24"/>
            </w:rPr>
            <w:t>42</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_Toc21025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（二）校地融合深度发展，积极培养应用型人才</w:t>
          </w:r>
          <w:r>
            <w:rPr>
              <w:sz w:val="24"/>
              <w:szCs w:val="24"/>
            </w:rPr>
            <w:tab/>
          </w:r>
          <w:r>
            <w:rPr>
              <w:sz w:val="24"/>
              <w:szCs w:val="24"/>
            </w:rPr>
            <w:fldChar w:fldCharType="begin"/>
          </w:r>
          <w:r>
            <w:rPr>
              <w:sz w:val="24"/>
              <w:szCs w:val="24"/>
            </w:rPr>
            <w:instrText xml:space="preserve"> PAGEREF _Toc21025 </w:instrText>
          </w:r>
          <w:r>
            <w:rPr>
              <w:sz w:val="24"/>
              <w:szCs w:val="24"/>
            </w:rPr>
            <w:fldChar w:fldCharType="separate"/>
          </w:r>
          <w:r>
            <w:rPr>
              <w:sz w:val="24"/>
              <w:szCs w:val="24"/>
            </w:rPr>
            <w:t>43</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_Toc2473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七</w:t>
          </w:r>
          <w:r>
            <w:rPr>
              <w:rFonts w:hint="eastAsia" w:ascii="黑体" w:hAnsi="黑体" w:eastAsia="黑体"/>
              <w:sz w:val="24"/>
              <w:szCs w:val="24"/>
            </w:rPr>
            <w:t>、存在问题及改进计划</w:t>
          </w:r>
          <w:r>
            <w:rPr>
              <w:sz w:val="24"/>
              <w:szCs w:val="24"/>
            </w:rPr>
            <w:tab/>
          </w:r>
          <w:r>
            <w:rPr>
              <w:sz w:val="24"/>
              <w:szCs w:val="24"/>
            </w:rPr>
            <w:fldChar w:fldCharType="begin"/>
          </w:r>
          <w:r>
            <w:rPr>
              <w:sz w:val="24"/>
              <w:szCs w:val="24"/>
            </w:rPr>
            <w:instrText xml:space="preserve"> PAGEREF _Toc2473 </w:instrText>
          </w:r>
          <w:r>
            <w:rPr>
              <w:sz w:val="24"/>
              <w:szCs w:val="24"/>
            </w:rPr>
            <w:fldChar w:fldCharType="separate"/>
          </w:r>
          <w:r>
            <w:rPr>
              <w:sz w:val="24"/>
              <w:szCs w:val="24"/>
            </w:rPr>
            <w:t>46</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_Toc24056 </w:instrText>
          </w:r>
          <w:r>
            <w:rPr>
              <w:rFonts w:hint="eastAsia" w:ascii="黑体" w:hAnsi="黑体" w:eastAsia="黑体" w:cs="黑体"/>
              <w:sz w:val="24"/>
              <w:szCs w:val="24"/>
            </w:rPr>
            <w:fldChar w:fldCharType="separate"/>
          </w:r>
          <w:r>
            <w:rPr>
              <w:rFonts w:hint="eastAsia" w:ascii="黑体" w:hAnsi="黑体" w:eastAsia="黑体"/>
              <w:sz w:val="24"/>
              <w:szCs w:val="24"/>
            </w:rPr>
            <w:t>本科教学质量报告支撑数据</w:t>
          </w:r>
          <w:r>
            <w:rPr>
              <w:sz w:val="24"/>
              <w:szCs w:val="24"/>
            </w:rPr>
            <w:tab/>
          </w:r>
          <w:r>
            <w:rPr>
              <w:sz w:val="24"/>
              <w:szCs w:val="24"/>
            </w:rPr>
            <w:fldChar w:fldCharType="begin"/>
          </w:r>
          <w:r>
            <w:rPr>
              <w:sz w:val="24"/>
              <w:szCs w:val="24"/>
            </w:rPr>
            <w:instrText xml:space="preserve"> PAGEREF _Toc24056 </w:instrText>
          </w:r>
          <w:r>
            <w:rPr>
              <w:sz w:val="24"/>
              <w:szCs w:val="24"/>
            </w:rPr>
            <w:fldChar w:fldCharType="separate"/>
          </w:r>
          <w:r>
            <w:rPr>
              <w:sz w:val="24"/>
              <w:szCs w:val="24"/>
            </w:rPr>
            <w:t>48</w:t>
          </w:r>
          <w:r>
            <w:rPr>
              <w:sz w:val="24"/>
              <w:szCs w:val="24"/>
            </w:rPr>
            <w:fldChar w:fldCharType="end"/>
          </w:r>
          <w:r>
            <w:rPr>
              <w:rFonts w:hint="eastAsia" w:ascii="黑体" w:hAnsi="黑体" w:eastAsia="黑体" w:cs="黑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黑体" w:eastAsia="黑体" w:cs="黑体"/>
              <w:szCs w:val="28"/>
            </w:rPr>
            <w:fldChar w:fldCharType="end"/>
          </w:r>
        </w:p>
      </w:sdtContent>
    </w:sdt>
    <w:p>
      <w:pPr>
        <w:jc w:val="center"/>
        <w:outlineLvl w:val="0"/>
        <w:rPr>
          <w:rFonts w:hint="eastAsia" w:ascii="黑体" w:hAnsi="黑体" w:eastAsia="黑体" w:cs="黑体"/>
          <w:bCs/>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20117"/>
      <w:bookmarkStart w:id="92" w:name="_GoBack"/>
      <w:bookmarkEnd w:id="92"/>
    </w:p>
    <w:p>
      <w:pPr>
        <w:jc w:val="center"/>
        <w:outlineLvl w:val="0"/>
        <w:rPr>
          <w:rFonts w:ascii="黑体" w:hAnsi="黑体" w:eastAsia="黑体" w:cs="黑体"/>
          <w:bCs/>
          <w:sz w:val="44"/>
          <w:szCs w:val="44"/>
        </w:rPr>
      </w:pPr>
      <w:r>
        <w:rPr>
          <w:rFonts w:hint="eastAsia" w:ascii="黑体" w:hAnsi="黑体" w:eastAsia="黑体" w:cs="黑体"/>
          <w:bCs/>
          <w:sz w:val="44"/>
          <w:szCs w:val="44"/>
        </w:rPr>
        <w:t>学校概况</w:t>
      </w:r>
      <w:bookmarkEnd w:id="0"/>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湖南科技学院是经教育部批准、湖南省人民政府举办的全日制普通本科院校。学校办学历史可追溯到1941年创办的湖南省立第七师范学校，2002年由原零陵师专升格为本科院校，定名零陵学院，2004年更名为湖南科技学院。学校坐落在国家历史文化名城——永州市。这里是舜帝道德文化、理学文化、瑶文化、女书文化发祥地，孕育了柳宗元、怀素、周敦颐、何绍基、李达、陶铸等历史文化名人。</w:t>
      </w:r>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学校现建有16个教学学院、4</w:t>
      </w:r>
      <w:r>
        <w:rPr>
          <w:rFonts w:hint="eastAsia" w:asciiTheme="majorEastAsia" w:hAnsiTheme="majorEastAsia" w:eastAsiaTheme="majorEastAsia" w:cstheme="majorEastAsia"/>
          <w:kern w:val="0"/>
          <w:sz w:val="28"/>
          <w:szCs w:val="28"/>
          <w:lang w:val="en-US" w:eastAsia="zh-CN"/>
        </w:rPr>
        <w:t>9</w:t>
      </w:r>
      <w:r>
        <w:rPr>
          <w:rFonts w:hint="eastAsia" w:asciiTheme="majorEastAsia" w:hAnsiTheme="majorEastAsia" w:eastAsiaTheme="majorEastAsia" w:cstheme="majorEastAsia"/>
          <w:kern w:val="0"/>
          <w:sz w:val="28"/>
          <w:szCs w:val="28"/>
        </w:rPr>
        <w:t>个普通本科专业，涵盖经济学、法学、教育学、文学、理学、工学、管理学、艺术学等八个学科门类，面向全国2</w:t>
      </w:r>
      <w:r>
        <w:rPr>
          <w:rFonts w:hint="eastAsia" w:asciiTheme="majorEastAsia" w:hAnsiTheme="majorEastAsia" w:eastAsiaTheme="majorEastAsia" w:cstheme="majorEastAsia"/>
          <w:kern w:val="0"/>
          <w:sz w:val="28"/>
          <w:szCs w:val="28"/>
          <w:lang w:val="en-US" w:eastAsia="zh-CN"/>
        </w:rPr>
        <w:t>8</w:t>
      </w:r>
      <w:r>
        <w:rPr>
          <w:rFonts w:hint="eastAsia" w:asciiTheme="majorEastAsia" w:hAnsiTheme="majorEastAsia" w:eastAsiaTheme="majorEastAsia" w:cstheme="majorEastAsia"/>
          <w:kern w:val="0"/>
          <w:sz w:val="28"/>
          <w:szCs w:val="28"/>
        </w:rPr>
        <w:t>个省（自治区、直辖市）招生。现有全日制在校生15</w:t>
      </w:r>
      <w:r>
        <w:rPr>
          <w:rFonts w:hint="eastAsia" w:asciiTheme="majorEastAsia" w:hAnsiTheme="majorEastAsia" w:eastAsiaTheme="majorEastAsia" w:cstheme="majorEastAsia"/>
          <w:kern w:val="0"/>
          <w:sz w:val="28"/>
          <w:szCs w:val="28"/>
          <w:lang w:val="en-US" w:eastAsia="zh-CN"/>
        </w:rPr>
        <w:t>815</w:t>
      </w:r>
      <w:r>
        <w:rPr>
          <w:rFonts w:hint="eastAsia" w:asciiTheme="majorEastAsia" w:hAnsiTheme="majorEastAsia" w:eastAsiaTheme="majorEastAsia" w:cstheme="majorEastAsia"/>
          <w:kern w:val="0"/>
          <w:sz w:val="28"/>
          <w:szCs w:val="28"/>
        </w:rPr>
        <w:t>人，教职员工12</w:t>
      </w:r>
      <w:r>
        <w:rPr>
          <w:rFonts w:hint="eastAsia" w:asciiTheme="majorEastAsia" w:hAnsiTheme="majorEastAsia" w:eastAsiaTheme="majorEastAsia" w:cstheme="majorEastAsia"/>
          <w:kern w:val="0"/>
          <w:sz w:val="28"/>
          <w:szCs w:val="28"/>
          <w:lang w:val="en-US" w:eastAsia="zh-CN"/>
        </w:rPr>
        <w:t>47</w:t>
      </w:r>
      <w:r>
        <w:rPr>
          <w:rFonts w:hint="eastAsia" w:asciiTheme="majorEastAsia" w:hAnsiTheme="majorEastAsia" w:eastAsiaTheme="majorEastAsia" w:cstheme="majorEastAsia"/>
          <w:kern w:val="0"/>
          <w:sz w:val="28"/>
          <w:szCs w:val="28"/>
        </w:rPr>
        <w:t>人，其中专任教师8</w:t>
      </w:r>
      <w:r>
        <w:rPr>
          <w:rFonts w:hint="eastAsia" w:asciiTheme="majorEastAsia" w:hAnsiTheme="majorEastAsia" w:eastAsiaTheme="majorEastAsia" w:cstheme="majorEastAsia"/>
          <w:kern w:val="0"/>
          <w:sz w:val="28"/>
          <w:szCs w:val="28"/>
          <w:lang w:val="en-US" w:eastAsia="zh-CN"/>
        </w:rPr>
        <w:t>6</w:t>
      </w:r>
      <w:r>
        <w:rPr>
          <w:rFonts w:hint="eastAsia" w:asciiTheme="majorEastAsia" w:hAnsiTheme="majorEastAsia" w:eastAsiaTheme="majorEastAsia" w:cstheme="majorEastAsia"/>
          <w:kern w:val="0"/>
          <w:sz w:val="28"/>
          <w:szCs w:val="28"/>
        </w:rPr>
        <w:t>9人，入选政府特殊津贴、湖南省芙蓉教学名师、“湖湘青年英才”支持计划、湖南省“121人才”工程人选、省级学科带头人、省级应用特色学科带头人</w:t>
      </w: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rPr>
        <w:t>省级青年骨干教师</w:t>
      </w:r>
      <w:r>
        <w:rPr>
          <w:rFonts w:hint="eastAsia" w:asciiTheme="majorEastAsia" w:hAnsiTheme="majorEastAsia" w:eastAsiaTheme="majorEastAsia" w:cstheme="majorEastAsia"/>
          <w:kern w:val="0"/>
          <w:sz w:val="28"/>
          <w:szCs w:val="28"/>
          <w:lang w:val="en-US" w:eastAsia="zh-CN"/>
        </w:rPr>
        <w:t>等</w:t>
      </w:r>
      <w:r>
        <w:rPr>
          <w:rFonts w:hint="eastAsia" w:asciiTheme="majorEastAsia" w:hAnsiTheme="majorEastAsia" w:eastAsiaTheme="majorEastAsia" w:cstheme="majorEastAsia"/>
          <w:kern w:val="0"/>
          <w:sz w:val="28"/>
          <w:szCs w:val="28"/>
        </w:rPr>
        <w:t>8</w:t>
      </w:r>
      <w:r>
        <w:rPr>
          <w:rFonts w:hint="eastAsia" w:asciiTheme="majorEastAsia" w:hAnsiTheme="majorEastAsia" w:eastAsiaTheme="majorEastAsia" w:cstheme="majorEastAsia"/>
          <w:kern w:val="0"/>
          <w:sz w:val="28"/>
          <w:szCs w:val="28"/>
          <w:lang w:val="en-US" w:eastAsia="zh-CN"/>
        </w:rPr>
        <w:t>0</w:t>
      </w:r>
      <w:r>
        <w:rPr>
          <w:rFonts w:hint="eastAsia" w:asciiTheme="majorEastAsia" w:hAnsiTheme="majorEastAsia" w:eastAsiaTheme="majorEastAsia" w:cstheme="majorEastAsia"/>
          <w:kern w:val="0"/>
          <w:sz w:val="28"/>
          <w:szCs w:val="28"/>
          <w:lang w:eastAsia="zh-CN"/>
        </w:rPr>
        <w:t>余</w:t>
      </w:r>
      <w:r>
        <w:rPr>
          <w:rFonts w:hint="eastAsia" w:asciiTheme="majorEastAsia" w:hAnsiTheme="majorEastAsia" w:eastAsiaTheme="majorEastAsia" w:cstheme="majorEastAsia"/>
          <w:kern w:val="0"/>
          <w:sz w:val="28"/>
          <w:szCs w:val="28"/>
        </w:rPr>
        <w:t>人次。</w:t>
      </w:r>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学校占地面积约7</w:t>
      </w:r>
      <w:r>
        <w:rPr>
          <w:rFonts w:hint="eastAsia" w:asciiTheme="majorEastAsia" w:hAnsiTheme="majorEastAsia" w:eastAsiaTheme="majorEastAsia" w:cstheme="majorEastAsia"/>
          <w:kern w:val="0"/>
          <w:sz w:val="28"/>
          <w:szCs w:val="28"/>
          <w:lang w:val="en-US" w:eastAsia="zh-CN"/>
        </w:rPr>
        <w:t>1</w:t>
      </w:r>
      <w:r>
        <w:rPr>
          <w:rFonts w:hint="eastAsia" w:asciiTheme="majorEastAsia" w:hAnsiTheme="majorEastAsia" w:eastAsiaTheme="majorEastAsia" w:cstheme="majorEastAsia"/>
          <w:kern w:val="0"/>
          <w:sz w:val="28"/>
          <w:szCs w:val="28"/>
        </w:rPr>
        <w:t>万</w:t>
      </w:r>
      <w:r>
        <w:rPr>
          <w:rFonts w:hint="eastAsia" w:asciiTheme="majorEastAsia" w:hAnsiTheme="majorEastAsia" w:eastAsiaTheme="majorEastAsia" w:cstheme="majorEastAsia"/>
          <w:kern w:val="0"/>
          <w:sz w:val="28"/>
          <w:szCs w:val="28"/>
          <w:lang w:val="en-US" w:eastAsia="zh-CN"/>
        </w:rPr>
        <w:t>余</w:t>
      </w:r>
      <w:r>
        <w:rPr>
          <w:rFonts w:hint="eastAsia" w:asciiTheme="majorEastAsia" w:hAnsiTheme="majorEastAsia" w:eastAsiaTheme="majorEastAsia" w:cstheme="majorEastAsia"/>
          <w:kern w:val="0"/>
          <w:sz w:val="28"/>
          <w:szCs w:val="28"/>
        </w:rPr>
        <w:t>平方米，建筑面积约51万平方米，教学仪器设备总值约1.5亿元，纸本图书110余万册。</w:t>
      </w:r>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学校现有2个“十三五”省级双一流应用特色建设学科、1个国家级特色专业、1个国家级综合改革试点专业、</w:t>
      </w:r>
      <w:r>
        <w:rPr>
          <w:rFonts w:hint="eastAsia" w:asciiTheme="majorEastAsia" w:hAnsiTheme="majorEastAsia" w:eastAsiaTheme="majorEastAsia" w:cstheme="majorEastAsia"/>
          <w:kern w:val="0"/>
          <w:sz w:val="28"/>
          <w:szCs w:val="28"/>
          <w:lang w:val="en-US" w:eastAsia="zh-CN"/>
        </w:rPr>
        <w:t>3门国家级一流本科课程、</w:t>
      </w:r>
      <w:r>
        <w:rPr>
          <w:rFonts w:hint="eastAsia" w:asciiTheme="majorEastAsia" w:hAnsiTheme="majorEastAsia" w:eastAsiaTheme="majorEastAsia" w:cstheme="majorEastAsia"/>
          <w:kern w:val="0"/>
          <w:sz w:val="28"/>
          <w:szCs w:val="28"/>
        </w:rPr>
        <w:t>4个省级特色专业、8个省级一流专业建设点、2个“十二五”省级综合改革试点专业、3个“十三五”省级综合改革试点专业、1个省级重点实验室、2个省级工程技术研究中心、8个省级创新创业教育（孵化）基地、1个省高校产学研合作示范基地、11个省级社科研究基地中心、3个省级优秀教学团队。近年来，全校教师共获得省部级以上科研项目370余项，其中国家自科基金项目14项、国家社科基金和教育部项目23项、国家艺术基金3项，获省级以上科研与教学成果奖20余项，全校教师发表学术论文5000余篇，出版教材260余部。学校已与美国、德国、英国等30所国（境）外高校开展教育合作，8位外籍专家在校任教。</w:t>
      </w:r>
    </w:p>
    <w:p>
      <w:pPr>
        <w:ind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坚持“地方性、应用型、有特色”的办学定位，秉承“德才兼备、自强不息”的校训精神，努力培养适应经济社会发展的应用型人才。学校曾荣获全国普通高等学校优秀教学成果特等奖和一等奖、全国普通高等学校教学管理工作先进单位、全国毕业生就业典型经验高校、全国五四红旗团委、全国高等院校后勤工作先进集体、湖南省大学生就业创业优秀示范校、湖南省高等学校党建和思想政治工作先进单位、湖南省思想政治工作先进单位等称号。</w:t>
      </w:r>
    </w:p>
    <w:p>
      <w:pPr>
        <w:pStyle w:val="8"/>
        <w:rPr>
          <w:rFonts w:hint="eastAsia" w:asciiTheme="majorEastAsia" w:hAnsiTheme="majorEastAsia" w:eastAsiaTheme="majorEastAsia" w:cstheme="majorEastAsia"/>
          <w:kern w:val="0"/>
          <w:sz w:val="28"/>
          <w:szCs w:val="28"/>
        </w:rPr>
      </w:pPr>
    </w:p>
    <w:p>
      <w:pPr>
        <w:pStyle w:val="8"/>
        <w:rPr>
          <w:rFonts w:hint="eastAsia" w:asciiTheme="majorEastAsia" w:hAnsiTheme="majorEastAsia" w:eastAsiaTheme="majorEastAsia" w:cstheme="majorEastAsia"/>
          <w:kern w:val="0"/>
          <w:sz w:val="28"/>
          <w:szCs w:val="28"/>
        </w:rPr>
      </w:pPr>
    </w:p>
    <w:p>
      <w:pPr>
        <w:jc w:val="left"/>
      </w:pPr>
    </w:p>
    <w:p>
      <w:pPr>
        <w:jc w:val="left"/>
      </w:pPr>
    </w:p>
    <w:p>
      <w:pPr>
        <w:jc w:val="left"/>
      </w:pPr>
    </w:p>
    <w:p>
      <w:pPr>
        <w:jc w:val="left"/>
      </w:pPr>
    </w:p>
    <w:p>
      <w:pPr>
        <w:jc w:val="left"/>
      </w:pPr>
    </w:p>
    <w:p>
      <w:pPr>
        <w:jc w:val="left"/>
      </w:pPr>
    </w:p>
    <w:p>
      <w:pPr>
        <w:pStyle w:val="4"/>
        <w:jc w:val="left"/>
      </w:pPr>
      <w:bookmarkStart w:id="1" w:name="_Toc9894"/>
      <w:bookmarkStart w:id="2" w:name="_Toc25325"/>
      <w:r>
        <w:rPr>
          <w:rFonts w:hint="eastAsia" w:ascii="黑体" w:hAnsi="黑体" w:eastAsia="黑体"/>
          <w:sz w:val="30"/>
          <w:szCs w:val="30"/>
        </w:rPr>
        <w:t>一、本科教育基本情况</w:t>
      </w:r>
      <w:bookmarkEnd w:id="1"/>
      <w:bookmarkEnd w:id="2"/>
    </w:p>
    <w:p>
      <w:pPr>
        <w:pStyle w:val="5"/>
        <w:jc w:val="left"/>
        <w:rPr>
          <w:rFonts w:hint="default" w:eastAsia="黑体"/>
          <w:lang w:val="en-US" w:eastAsia="zh-CN"/>
        </w:rPr>
      </w:pPr>
      <w:bookmarkStart w:id="3" w:name="_Toc14308"/>
      <w:bookmarkStart w:id="4" w:name="_Toc3165"/>
      <w:r>
        <w:rPr>
          <w:rFonts w:hint="eastAsia" w:ascii="黑体" w:hAnsi="黑体" w:eastAsia="黑体"/>
          <w:sz w:val="28"/>
          <w:szCs w:val="28"/>
        </w:rPr>
        <w:t>（一）</w:t>
      </w:r>
      <w:r>
        <w:rPr>
          <w:rFonts w:hint="eastAsia" w:ascii="黑体" w:hAnsi="黑体" w:eastAsia="黑体"/>
          <w:sz w:val="28"/>
          <w:szCs w:val="28"/>
          <w:lang w:val="en-US" w:eastAsia="zh-CN"/>
        </w:rPr>
        <w:t>发展目标定位</w:t>
      </w:r>
      <w:bookmarkEnd w:id="3"/>
      <w:bookmarkEnd w:id="4"/>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办学类型定位</w:t>
      </w:r>
      <w:r>
        <w:rPr>
          <w:rFonts w:hint="eastAsia" w:ascii="宋体" w:hAnsi="宋体" w:eastAsia="宋体" w:cs="宋体"/>
          <w:sz w:val="28"/>
          <w:szCs w:val="28"/>
        </w:rPr>
        <w:t xml:space="preserve">：应用型大学。  </w:t>
      </w:r>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办学层次定位</w:t>
      </w:r>
      <w:r>
        <w:rPr>
          <w:rFonts w:hint="eastAsia" w:ascii="宋体" w:hAnsi="宋体" w:eastAsia="宋体" w:cs="宋体"/>
          <w:sz w:val="28"/>
          <w:szCs w:val="28"/>
        </w:rPr>
        <w:t xml:space="preserve">：以本科教育为主，积极创办研究生教育，适度开展其他类型的教育。  </w:t>
      </w:r>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服务面向定位</w:t>
      </w:r>
      <w:r>
        <w:rPr>
          <w:rFonts w:hint="eastAsia" w:ascii="宋体" w:hAnsi="宋体" w:eastAsia="宋体" w:cs="宋体"/>
          <w:sz w:val="28"/>
          <w:szCs w:val="28"/>
        </w:rPr>
        <w:t xml:space="preserve">：立足永州，面向湖南，辐射全国，为地方经济建设与社会发展服务。  </w:t>
      </w:r>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人才培养目标定位</w:t>
      </w:r>
      <w:r>
        <w:rPr>
          <w:rFonts w:hint="eastAsia" w:ascii="宋体" w:hAnsi="宋体" w:eastAsia="宋体" w:cs="宋体"/>
          <w:sz w:val="28"/>
          <w:szCs w:val="28"/>
        </w:rPr>
        <w:t xml:space="preserve">：培养德智体美劳全面发展，基础扎实、实践能力强、综合素质高，具有创新精神和适应经济社会发展的应用型人才。  </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宋体" w:hAnsi="宋体" w:eastAsia="宋体" w:cs="宋体"/>
          <w:sz w:val="28"/>
          <w:szCs w:val="28"/>
        </w:rPr>
      </w:pPr>
      <w:r>
        <w:rPr>
          <w:rFonts w:hint="eastAsia" w:ascii="宋体" w:hAnsi="宋体" w:eastAsia="宋体" w:cs="宋体"/>
          <w:b/>
          <w:sz w:val="28"/>
          <w:szCs w:val="28"/>
        </w:rPr>
        <w:t>办学目标定位</w:t>
      </w:r>
      <w:r>
        <w:rPr>
          <w:rFonts w:hint="eastAsia" w:ascii="宋体" w:hAnsi="宋体" w:eastAsia="宋体" w:cs="宋体"/>
          <w:sz w:val="28"/>
          <w:szCs w:val="28"/>
        </w:rPr>
        <w:t xml:space="preserve">：建设特色鲜明的地方性高水平应用型大学。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 xml:space="preserve">为建成高水平应用型大学，实现学校影响力、学生竞争力、师生幸福力同步提升。具体分三步走：第一步，“十三五”时期，努力迈进湖南省转型发展高校先进行列；第二步，再用五至十年，把学校建成有区域影响力的先进技术转移中心、科技服务中心、技术创新基地、文化传承创新中心和应用型人才培养中心；第三步，到建校一百周年把学校建成有地位、有影响的高水平应用型大学。  </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宋体" w:hAnsi="宋体" w:eastAsia="宋体"/>
          <w:sz w:val="28"/>
          <w:szCs w:val="28"/>
          <w:u w:val="single"/>
          <w:lang w:val="en-US" w:eastAsia="zh-CN"/>
        </w:rPr>
      </w:pPr>
      <w:r>
        <w:rPr>
          <w:rFonts w:hint="eastAsia" w:ascii="宋体" w:hAnsi="宋体" w:eastAsia="宋体" w:cs="宋体"/>
          <w:b/>
          <w:sz w:val="28"/>
          <w:szCs w:val="28"/>
        </w:rPr>
        <w:t>办学特色定位</w:t>
      </w:r>
      <w:r>
        <w:rPr>
          <w:rFonts w:hint="eastAsia" w:ascii="宋体" w:hAnsi="宋体" w:eastAsia="宋体" w:cs="宋体"/>
          <w:sz w:val="28"/>
          <w:szCs w:val="28"/>
        </w:rPr>
        <w:t>：艰苦奋斗，自强不息的办学精神；以生为本，强调应用的育人理念；根植湖南，服务地方的价值追求。</w:t>
      </w:r>
    </w:p>
    <w:p>
      <w:pPr>
        <w:pStyle w:val="5"/>
        <w:jc w:val="left"/>
        <w:rPr>
          <w:rFonts w:hint="eastAsia" w:ascii="黑体" w:hAnsi="黑体" w:eastAsia="黑体"/>
          <w:sz w:val="28"/>
          <w:szCs w:val="28"/>
          <w:lang w:val="en-US" w:eastAsia="zh-CN"/>
        </w:rPr>
      </w:pPr>
      <w:bookmarkStart w:id="5" w:name="_Toc7780"/>
      <w:bookmarkStart w:id="6" w:name="_Toc4617"/>
      <w:r>
        <w:rPr>
          <w:rFonts w:hint="eastAsia" w:ascii="黑体" w:hAnsi="黑体" w:eastAsia="黑体"/>
          <w:sz w:val="28"/>
          <w:szCs w:val="28"/>
          <w:lang w:val="en-US" w:eastAsia="zh-CN"/>
        </w:rPr>
        <w:t>（二）学科专业设置情况</w:t>
      </w:r>
      <w:bookmarkEnd w:id="5"/>
      <w:bookmarkEnd w:id="6"/>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tab/>
      </w:r>
      <w:r>
        <w:rPr>
          <w:rFonts w:hint="eastAsia" w:ascii="宋体" w:hAnsi="宋体" w:eastAsia="宋体" w:cs="宋体"/>
          <w:sz w:val="28"/>
          <w:szCs w:val="28"/>
        </w:rPr>
        <w:t>学校现有本科专业</w:t>
      </w:r>
      <w:r>
        <w:rPr>
          <w:rFonts w:hint="eastAsia" w:ascii="宋体" w:hAnsi="宋体" w:eastAsia="宋体" w:cs="宋体"/>
          <w:sz w:val="28"/>
          <w:szCs w:val="28"/>
          <w:lang w:val="en-US" w:eastAsia="zh-CN"/>
        </w:rPr>
        <w:t>49</w:t>
      </w:r>
      <w:r>
        <w:rPr>
          <w:rFonts w:hint="eastAsia" w:ascii="宋体" w:hAnsi="宋体" w:eastAsia="宋体" w:cs="宋体"/>
          <w:sz w:val="28"/>
          <w:szCs w:val="28"/>
        </w:rPr>
        <w:t>个，其中工学专业</w:t>
      </w:r>
      <w:r>
        <w:rPr>
          <w:rFonts w:hint="eastAsia" w:ascii="宋体" w:hAnsi="宋体" w:eastAsia="宋体" w:cs="宋体"/>
          <w:sz w:val="28"/>
          <w:szCs w:val="28"/>
          <w:lang w:val="en-US" w:eastAsia="zh-CN"/>
        </w:rPr>
        <w:t>16</w:t>
      </w:r>
      <w:r>
        <w:rPr>
          <w:rFonts w:hint="eastAsia" w:ascii="宋体" w:hAnsi="宋体" w:eastAsia="宋体" w:cs="宋体"/>
          <w:sz w:val="28"/>
          <w:szCs w:val="28"/>
        </w:rPr>
        <w:t>个占</w:t>
      </w:r>
      <w:r>
        <w:rPr>
          <w:rFonts w:hint="eastAsia" w:ascii="宋体" w:hAnsi="宋体" w:eastAsia="宋体" w:cs="宋体"/>
          <w:sz w:val="28"/>
          <w:szCs w:val="28"/>
          <w:lang w:val="en-US" w:eastAsia="zh-CN"/>
        </w:rPr>
        <w:t>32.65</w:t>
      </w:r>
      <w:r>
        <w:rPr>
          <w:rFonts w:hint="eastAsia" w:ascii="宋体" w:hAnsi="宋体" w:eastAsia="宋体" w:cs="宋体"/>
          <w:sz w:val="28"/>
          <w:szCs w:val="28"/>
        </w:rPr>
        <w:t>%、理学专业</w:t>
      </w:r>
      <w:r>
        <w:rPr>
          <w:rFonts w:hint="eastAsia" w:ascii="宋体" w:hAnsi="宋体" w:eastAsia="宋体" w:cs="宋体"/>
          <w:sz w:val="28"/>
          <w:szCs w:val="28"/>
          <w:lang w:val="en-US" w:eastAsia="zh-CN"/>
        </w:rPr>
        <w:t>6</w:t>
      </w:r>
      <w:r>
        <w:rPr>
          <w:rFonts w:hint="eastAsia" w:ascii="宋体" w:hAnsi="宋体" w:eastAsia="宋体" w:cs="宋体"/>
          <w:sz w:val="28"/>
          <w:szCs w:val="28"/>
        </w:rPr>
        <w:t>个占</w:t>
      </w:r>
      <w:r>
        <w:rPr>
          <w:rFonts w:hint="eastAsia" w:ascii="宋体" w:hAnsi="宋体" w:eastAsia="宋体" w:cs="宋体"/>
          <w:sz w:val="28"/>
          <w:szCs w:val="28"/>
          <w:lang w:val="en-US" w:eastAsia="zh-CN"/>
        </w:rPr>
        <w:t>12.24</w:t>
      </w:r>
      <w:r>
        <w:rPr>
          <w:rFonts w:hint="eastAsia" w:ascii="宋体" w:hAnsi="宋体" w:eastAsia="宋体" w:cs="宋体"/>
          <w:sz w:val="28"/>
          <w:szCs w:val="28"/>
        </w:rPr>
        <w:t>%、文学专业</w:t>
      </w:r>
      <w:r>
        <w:rPr>
          <w:rFonts w:hint="eastAsia" w:ascii="宋体" w:hAnsi="宋体" w:eastAsia="宋体" w:cs="宋体"/>
          <w:sz w:val="28"/>
          <w:szCs w:val="28"/>
          <w:lang w:val="en-US" w:eastAsia="zh-CN"/>
        </w:rPr>
        <w:t>7</w:t>
      </w:r>
      <w:r>
        <w:rPr>
          <w:rFonts w:hint="eastAsia" w:ascii="宋体" w:hAnsi="宋体" w:eastAsia="宋体" w:cs="宋体"/>
          <w:sz w:val="28"/>
          <w:szCs w:val="28"/>
        </w:rPr>
        <w:t>个占</w:t>
      </w:r>
      <w:r>
        <w:rPr>
          <w:rFonts w:hint="eastAsia" w:ascii="宋体" w:hAnsi="宋体" w:eastAsia="宋体" w:cs="宋体"/>
          <w:sz w:val="28"/>
          <w:szCs w:val="28"/>
          <w:lang w:val="en-US" w:eastAsia="zh-CN"/>
        </w:rPr>
        <w:t>14.29</w:t>
      </w:r>
      <w:r>
        <w:rPr>
          <w:rFonts w:hint="eastAsia" w:ascii="宋体" w:hAnsi="宋体" w:eastAsia="宋体" w:cs="宋体"/>
          <w:sz w:val="28"/>
          <w:szCs w:val="28"/>
        </w:rPr>
        <w:t>%、经济学专业</w:t>
      </w:r>
      <w:r>
        <w:rPr>
          <w:rFonts w:hint="eastAsia" w:ascii="宋体" w:hAnsi="宋体" w:eastAsia="宋体" w:cs="宋体"/>
          <w:sz w:val="28"/>
          <w:szCs w:val="28"/>
          <w:lang w:val="en-US" w:eastAsia="zh-CN"/>
        </w:rPr>
        <w:t>3</w:t>
      </w:r>
      <w:r>
        <w:rPr>
          <w:rFonts w:hint="eastAsia" w:ascii="宋体" w:hAnsi="宋体" w:eastAsia="宋体" w:cs="宋体"/>
          <w:sz w:val="28"/>
          <w:szCs w:val="28"/>
        </w:rPr>
        <w:t>个占</w:t>
      </w:r>
      <w:r>
        <w:rPr>
          <w:rFonts w:hint="eastAsia" w:ascii="宋体" w:hAnsi="宋体" w:eastAsia="宋体" w:cs="宋体"/>
          <w:sz w:val="28"/>
          <w:szCs w:val="28"/>
          <w:lang w:val="en-US" w:eastAsia="zh-CN"/>
        </w:rPr>
        <w:t>6.12</w:t>
      </w:r>
      <w:r>
        <w:rPr>
          <w:rFonts w:hint="eastAsia" w:ascii="宋体" w:hAnsi="宋体" w:eastAsia="宋体" w:cs="宋体"/>
          <w:sz w:val="28"/>
          <w:szCs w:val="28"/>
        </w:rPr>
        <w:t>%、管理学专业</w:t>
      </w:r>
      <w:r>
        <w:rPr>
          <w:rFonts w:hint="eastAsia" w:ascii="宋体" w:hAnsi="宋体" w:eastAsia="宋体" w:cs="宋体"/>
          <w:sz w:val="28"/>
          <w:szCs w:val="28"/>
          <w:lang w:val="en-US" w:eastAsia="zh-CN"/>
        </w:rPr>
        <w:t>4</w:t>
      </w:r>
      <w:r>
        <w:rPr>
          <w:rFonts w:hint="eastAsia" w:ascii="宋体" w:hAnsi="宋体" w:eastAsia="宋体" w:cs="宋体"/>
          <w:sz w:val="28"/>
          <w:szCs w:val="28"/>
        </w:rPr>
        <w:t>个占</w:t>
      </w:r>
      <w:r>
        <w:rPr>
          <w:rFonts w:hint="eastAsia" w:ascii="宋体" w:hAnsi="宋体" w:eastAsia="宋体" w:cs="宋体"/>
          <w:sz w:val="28"/>
          <w:szCs w:val="28"/>
          <w:lang w:val="en-US" w:eastAsia="zh-CN"/>
        </w:rPr>
        <w:t>8.16</w:t>
      </w:r>
      <w:r>
        <w:rPr>
          <w:rFonts w:hint="eastAsia" w:ascii="宋体" w:hAnsi="宋体" w:eastAsia="宋体" w:cs="宋体"/>
          <w:sz w:val="28"/>
          <w:szCs w:val="28"/>
        </w:rPr>
        <w:t>%、艺术学专业</w:t>
      </w:r>
      <w:r>
        <w:rPr>
          <w:rFonts w:hint="eastAsia" w:ascii="宋体" w:hAnsi="宋体" w:eastAsia="宋体" w:cs="宋体"/>
          <w:sz w:val="28"/>
          <w:szCs w:val="28"/>
          <w:lang w:val="en-US" w:eastAsia="zh-CN"/>
        </w:rPr>
        <w:t>10</w:t>
      </w:r>
      <w:r>
        <w:rPr>
          <w:rFonts w:hint="eastAsia" w:ascii="宋体" w:hAnsi="宋体" w:eastAsia="宋体" w:cs="宋体"/>
          <w:sz w:val="28"/>
          <w:szCs w:val="28"/>
        </w:rPr>
        <w:t>个占</w:t>
      </w:r>
      <w:r>
        <w:rPr>
          <w:rFonts w:hint="eastAsia" w:ascii="宋体" w:hAnsi="宋体" w:eastAsia="宋体" w:cs="宋体"/>
          <w:sz w:val="28"/>
          <w:szCs w:val="28"/>
          <w:lang w:val="en-US" w:eastAsia="zh-CN"/>
        </w:rPr>
        <w:t>20.41</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教育学</w:t>
      </w:r>
      <w:r>
        <w:rPr>
          <w:rFonts w:hint="eastAsia" w:ascii="宋体" w:hAnsi="宋体" w:eastAsia="宋体" w:cs="宋体"/>
          <w:sz w:val="28"/>
          <w:szCs w:val="28"/>
        </w:rPr>
        <w:t>专业</w:t>
      </w:r>
      <w:r>
        <w:rPr>
          <w:rFonts w:hint="eastAsia" w:ascii="宋体" w:hAnsi="宋体" w:eastAsia="宋体" w:cs="宋体"/>
          <w:sz w:val="28"/>
          <w:szCs w:val="28"/>
          <w:lang w:val="en-US" w:eastAsia="zh-CN"/>
        </w:rPr>
        <w:t>1</w:t>
      </w:r>
      <w:r>
        <w:rPr>
          <w:rFonts w:hint="eastAsia" w:ascii="宋体" w:hAnsi="宋体" w:eastAsia="宋体" w:cs="宋体"/>
          <w:sz w:val="28"/>
          <w:szCs w:val="28"/>
        </w:rPr>
        <w:t>个占</w:t>
      </w:r>
      <w:r>
        <w:rPr>
          <w:rFonts w:hint="eastAsia" w:ascii="宋体" w:hAnsi="宋体" w:eastAsia="宋体" w:cs="宋体"/>
          <w:sz w:val="28"/>
          <w:szCs w:val="28"/>
          <w:lang w:val="en-US" w:eastAsia="zh-CN"/>
        </w:rPr>
        <w:t>2.04</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法学</w:t>
      </w:r>
      <w:r>
        <w:rPr>
          <w:rFonts w:hint="eastAsia" w:ascii="宋体" w:hAnsi="宋体" w:eastAsia="宋体" w:cs="宋体"/>
          <w:sz w:val="28"/>
          <w:szCs w:val="28"/>
        </w:rPr>
        <w:t>专业</w:t>
      </w:r>
      <w:r>
        <w:rPr>
          <w:rFonts w:hint="eastAsia" w:ascii="宋体" w:hAnsi="宋体" w:eastAsia="宋体" w:cs="宋体"/>
          <w:sz w:val="28"/>
          <w:szCs w:val="28"/>
          <w:lang w:val="en-US" w:eastAsia="zh-CN"/>
        </w:rPr>
        <w:t>2</w:t>
      </w:r>
      <w:r>
        <w:rPr>
          <w:rFonts w:hint="eastAsia" w:ascii="宋体" w:hAnsi="宋体" w:eastAsia="宋体" w:cs="宋体"/>
          <w:sz w:val="28"/>
          <w:szCs w:val="28"/>
        </w:rPr>
        <w:t>个占</w:t>
      </w:r>
      <w:r>
        <w:rPr>
          <w:rFonts w:hint="eastAsia" w:ascii="宋体" w:hAnsi="宋体" w:eastAsia="宋体" w:cs="宋体"/>
          <w:sz w:val="28"/>
          <w:szCs w:val="28"/>
          <w:lang w:val="en-US" w:eastAsia="zh-CN"/>
        </w:rPr>
        <w:t>4.08</w:t>
      </w:r>
      <w:r>
        <w:rPr>
          <w:rFonts w:hint="eastAsia" w:ascii="宋体" w:hAnsi="宋体" w:eastAsia="宋体" w:cs="宋体"/>
          <w:sz w:val="28"/>
          <w:szCs w:val="28"/>
        </w:rPr>
        <w:t>%。</w:t>
      </w:r>
    </w:p>
    <w:p>
      <w:pPr>
        <w:jc w:val="left"/>
        <w:rPr>
          <w:rFonts w:hint="eastAsia" w:ascii="黑体" w:hAnsi="黑体" w:eastAsia="黑体"/>
          <w:sz w:val="24"/>
          <w:szCs w:val="24"/>
        </w:rPr>
      </w:pPr>
      <w:r>
        <w:tab/>
      </w:r>
    </w:p>
    <w:p>
      <w:pPr>
        <w:jc w:val="center"/>
        <w:rPr>
          <w:rFonts w:hint="eastAsia" w:ascii="黑体" w:hAnsi="黑体" w:eastAsia="黑体"/>
          <w:sz w:val="24"/>
          <w:szCs w:val="24"/>
          <w:lang w:eastAsia="zh-CN"/>
        </w:rPr>
      </w:pPr>
      <w:r>
        <w:rPr>
          <w:rFonts w:hint="eastAsia" w:ascii="黑体" w:hAnsi="黑体" w:eastAsia="黑体"/>
          <w:sz w:val="24"/>
          <w:szCs w:val="24"/>
          <w:lang w:eastAsia="zh-C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pP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图1 各学科专业占比情况（%）
</w:t>
      </w:r>
    </w:p>
    <w:p>
      <w:pPr>
        <w:jc w:val="left"/>
      </w:pPr>
    </w:p>
    <w:p>
      <w:pPr>
        <w:jc w:val="left"/>
        <w:outlineLvl w:val="1"/>
      </w:pPr>
      <w:r>
        <w:tab/>
      </w:r>
      <w:bookmarkStart w:id="7" w:name="_Toc2927"/>
      <w:r>
        <w:rPr>
          <w:rFonts w:hint="eastAsia" w:ascii="黑体" w:hAnsi="黑体" w:eastAsia="黑体" w:cstheme="majorBidi"/>
          <w:b/>
          <w:bCs/>
          <w:kern w:val="2"/>
          <w:sz w:val="28"/>
          <w:szCs w:val="28"/>
          <w:lang w:val="en-US" w:eastAsia="zh-CN" w:bidi="ar-SA"/>
        </w:rPr>
        <w:t>（三）在校生规模</w:t>
      </w:r>
      <w:bookmarkEnd w:id="7"/>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tab/>
      </w:r>
      <w:r>
        <w:rPr>
          <w:rFonts w:hint="eastAsia" w:ascii="宋体" w:hAnsi="宋体" w:eastAsia="宋体" w:cs="宋体"/>
          <w:sz w:val="28"/>
          <w:szCs w:val="28"/>
        </w:rPr>
        <w:t>目前学校全日制在校生总规模为</w:t>
      </w:r>
      <w:r>
        <w:rPr>
          <w:rFonts w:hint="eastAsia" w:ascii="宋体" w:hAnsi="宋体" w:eastAsia="宋体" w:cs="宋体"/>
          <w:sz w:val="28"/>
          <w:szCs w:val="28"/>
          <w:lang w:val="en-US" w:eastAsia="zh-CN"/>
        </w:rPr>
        <w:t>15815</w:t>
      </w:r>
      <w:r>
        <w:rPr>
          <w:rFonts w:hint="eastAsia" w:ascii="宋体" w:hAnsi="宋体" w:eastAsia="宋体" w:cs="宋体"/>
          <w:sz w:val="28"/>
          <w:szCs w:val="28"/>
        </w:rPr>
        <w:t>人，本科生数占全日制在校生总数的比例为</w:t>
      </w:r>
      <w:r>
        <w:rPr>
          <w:rFonts w:hint="eastAsia" w:ascii="宋体" w:hAnsi="宋体" w:eastAsia="宋体" w:cs="宋体"/>
          <w:sz w:val="28"/>
          <w:szCs w:val="28"/>
          <w:lang w:val="en-US" w:eastAsia="zh-CN"/>
        </w:rPr>
        <w:t>98.77</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sz w:val="28"/>
          <w:szCs w:val="28"/>
        </w:rPr>
        <w:tab/>
      </w:r>
      <w:r>
        <w:rPr>
          <w:rFonts w:hint="eastAsia" w:ascii="宋体" w:hAnsi="宋体" w:eastAsia="宋体" w:cs="宋体"/>
          <w:sz w:val="28"/>
          <w:szCs w:val="28"/>
        </w:rPr>
        <w:t>各类在校生的人数情况如表1所示（按时点统计）。</w:t>
      </w:r>
    </w:p>
    <w:p>
      <w:pPr>
        <w:jc w:val="left"/>
      </w:pPr>
    </w:p>
    <w:p>
      <w:pPr>
        <w:jc w:val="center"/>
        <w:rPr>
          <w:rFonts w:hint="eastAsia" w:ascii="宋体" w:hAnsi="宋体" w:eastAsia="宋体"/>
          <w:sz w:val="24"/>
          <w:szCs w:val="24"/>
        </w:rPr>
      </w:pPr>
      <w:r>
        <w:tab/>
      </w:r>
      <w:r>
        <w:rPr>
          <w:rFonts w:hint="eastAsia" w:ascii="宋体" w:hAnsi="宋体" w:eastAsia="宋体"/>
          <w:sz w:val="24"/>
          <w:szCs w:val="24"/>
        </w:rPr>
        <w:t>表1 各类学生人数一览表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40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普通本科生数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15620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其中：与国（境）外大学联合培养的学生数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普通高职(含专科)生数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restart"/>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硕士研究生数</w:t>
            </w: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lang w:val="en-US" w:eastAsia="zh-CN"/>
              </w:rPr>
              <w:t>非</w:t>
            </w: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restart"/>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博士研究生数</w:t>
            </w: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lang w:val="en-US" w:eastAsia="zh-CN"/>
              </w:rPr>
              <w:t>非</w:t>
            </w: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restart"/>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留学生数</w:t>
            </w: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总数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其中：本科生数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硕士研究生数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博士研究生人数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授予博士学位的留学生数（人）</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普通预科生数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进修生数</w:t>
            </w:r>
          </w:p>
        </w:tc>
        <w:tc>
          <w:tcPr>
            <w:tcW w:w="3261"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成人脱产学生数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夜大（业余）学生数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函授学生数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网络学生数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自考学生数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中职在校生数（人）</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bl>
    <w:p>
      <w:pPr>
        <w:jc w:val="left"/>
      </w:pPr>
      <w:r>
        <w:tab/>
      </w:r>
    </w:p>
    <w:p>
      <w:pPr>
        <w:jc w:val="left"/>
      </w:pPr>
    </w:p>
    <w:p>
      <w:pPr>
        <w:pStyle w:val="5"/>
        <w:jc w:val="left"/>
        <w:rPr>
          <w:rFonts w:hint="eastAsia" w:ascii="黑体" w:hAnsi="黑体" w:eastAsia="黑体"/>
          <w:sz w:val="28"/>
          <w:szCs w:val="28"/>
        </w:rPr>
      </w:pPr>
      <w:bookmarkStart w:id="8" w:name="_Toc6138"/>
      <w:bookmarkStart w:id="9" w:name="_Toc13160"/>
      <w:r>
        <w:rPr>
          <w:rFonts w:hint="eastAsia" w:ascii="黑体" w:hAnsi="黑体" w:eastAsia="黑体"/>
          <w:sz w:val="28"/>
          <w:szCs w:val="28"/>
        </w:rPr>
        <w:t>（四）本科生生源质量</w:t>
      </w:r>
      <w:bookmarkEnd w:id="8"/>
      <w:bookmarkEnd w:id="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年，学校普通本科招生计划405</w:t>
      </w:r>
      <w:r>
        <w:rPr>
          <w:rFonts w:hint="eastAsia" w:ascii="宋体" w:hAnsi="宋体" w:eastAsia="宋体" w:cs="宋体"/>
          <w:sz w:val="28"/>
          <w:szCs w:val="28"/>
          <w:lang w:val="en-US" w:eastAsia="zh-CN"/>
        </w:rPr>
        <w:t>2</w:t>
      </w:r>
      <w:r>
        <w:rPr>
          <w:rFonts w:hint="eastAsia" w:ascii="宋体" w:hAnsi="宋体" w:eastAsia="宋体" w:cs="宋体"/>
          <w:sz w:val="28"/>
          <w:szCs w:val="28"/>
        </w:rPr>
        <w:t>人，实际录取405</w:t>
      </w:r>
      <w:r>
        <w:rPr>
          <w:rFonts w:hint="eastAsia" w:ascii="宋体" w:hAnsi="宋体" w:eastAsia="宋体" w:cs="宋体"/>
          <w:sz w:val="28"/>
          <w:szCs w:val="28"/>
          <w:lang w:val="en-US" w:eastAsia="zh-CN"/>
        </w:rPr>
        <w:t>2</w:t>
      </w:r>
      <w:r>
        <w:rPr>
          <w:rFonts w:hint="eastAsia" w:ascii="宋体" w:hAnsi="宋体" w:eastAsia="宋体" w:cs="宋体"/>
          <w:sz w:val="28"/>
          <w:szCs w:val="28"/>
        </w:rPr>
        <w:t>人，录取率为100%；实际报到</w:t>
      </w:r>
      <w:r>
        <w:rPr>
          <w:rFonts w:hint="eastAsia" w:ascii="宋体" w:hAnsi="宋体" w:eastAsia="宋体" w:cs="宋体"/>
          <w:sz w:val="28"/>
          <w:szCs w:val="28"/>
          <w:lang w:val="en-US" w:eastAsia="zh-CN"/>
        </w:rPr>
        <w:t>4003</w:t>
      </w:r>
      <w:r>
        <w:rPr>
          <w:rFonts w:hint="eastAsia" w:ascii="宋体" w:hAnsi="宋体" w:eastAsia="宋体" w:cs="宋体"/>
          <w:sz w:val="28"/>
          <w:szCs w:val="28"/>
        </w:rPr>
        <w:t>人，报到率为9</w:t>
      </w:r>
      <w:r>
        <w:rPr>
          <w:rFonts w:hint="eastAsia" w:ascii="宋体" w:hAnsi="宋体" w:eastAsia="宋体" w:cs="宋体"/>
          <w:sz w:val="28"/>
          <w:szCs w:val="28"/>
          <w:lang w:val="en-US" w:eastAsia="zh-CN"/>
        </w:rPr>
        <w:t>8.79</w:t>
      </w:r>
      <w:r>
        <w:rPr>
          <w:rFonts w:hint="eastAsia" w:ascii="宋体" w:hAnsi="宋体" w:eastAsia="宋体" w:cs="宋体"/>
          <w:sz w:val="28"/>
          <w:szCs w:val="28"/>
        </w:rPr>
        <w:t>%。另外，在湖南省招录少数民族本科预科班新生200人,实际报到</w:t>
      </w:r>
      <w:r>
        <w:rPr>
          <w:rFonts w:hint="eastAsia" w:ascii="宋体" w:hAnsi="宋体" w:eastAsia="宋体" w:cs="宋体"/>
          <w:sz w:val="28"/>
          <w:szCs w:val="28"/>
          <w:lang w:val="en-US" w:eastAsia="zh-CN"/>
        </w:rPr>
        <w:t>196</w:t>
      </w:r>
      <w:r>
        <w:rPr>
          <w:rFonts w:hint="eastAsia" w:ascii="宋体" w:hAnsi="宋体" w:eastAsia="宋体" w:cs="宋体"/>
          <w:sz w:val="28"/>
          <w:szCs w:val="28"/>
        </w:rPr>
        <w:t>人，报到率为9</w:t>
      </w: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学校面向全国2</w:t>
      </w:r>
      <w:r>
        <w:rPr>
          <w:rFonts w:hint="eastAsia" w:ascii="宋体" w:hAnsi="宋体" w:eastAsia="宋体" w:cs="宋体"/>
          <w:sz w:val="28"/>
          <w:szCs w:val="28"/>
          <w:lang w:val="en-US" w:eastAsia="zh-CN"/>
        </w:rPr>
        <w:t>8</w:t>
      </w:r>
      <w:r>
        <w:rPr>
          <w:rFonts w:hint="eastAsia" w:ascii="宋体" w:hAnsi="宋体" w:eastAsia="宋体" w:cs="宋体"/>
          <w:sz w:val="28"/>
          <w:szCs w:val="28"/>
        </w:rPr>
        <w:t>个省（市区）招生，生源充足，质量优良，录取分数稳中有升。全校本科一志愿出档率高达97.</w:t>
      </w:r>
      <w:r>
        <w:rPr>
          <w:rFonts w:hint="eastAsia" w:ascii="宋体" w:hAnsi="宋体" w:eastAsia="宋体" w:cs="宋体"/>
          <w:sz w:val="28"/>
          <w:szCs w:val="28"/>
          <w:lang w:val="en-US" w:eastAsia="zh-CN"/>
        </w:rPr>
        <w:t>94</w:t>
      </w:r>
      <w:r>
        <w:rPr>
          <w:rFonts w:hint="eastAsia" w:ascii="宋体" w:hAnsi="宋体" w:eastAsia="宋体" w:cs="宋体"/>
          <w:sz w:val="28"/>
          <w:szCs w:val="28"/>
        </w:rPr>
        <w:t>%，非艺体类专业本科一志愿出档率达97.</w:t>
      </w:r>
      <w:r>
        <w:rPr>
          <w:rFonts w:hint="eastAsia" w:ascii="宋体" w:hAnsi="宋体" w:eastAsia="宋体" w:cs="宋体"/>
          <w:sz w:val="28"/>
          <w:szCs w:val="28"/>
          <w:lang w:val="en-US" w:eastAsia="zh-CN"/>
        </w:rPr>
        <w:t>5</w:t>
      </w:r>
      <w:r>
        <w:rPr>
          <w:rFonts w:hint="eastAsia" w:ascii="宋体" w:hAnsi="宋体" w:eastAsia="宋体" w:cs="宋体"/>
          <w:sz w:val="28"/>
          <w:szCs w:val="28"/>
        </w:rPr>
        <w:t>%。在湖南录取新生</w:t>
      </w:r>
      <w:r>
        <w:rPr>
          <w:rFonts w:hint="eastAsia" w:ascii="宋体" w:hAnsi="宋体" w:eastAsia="宋体" w:cs="宋体"/>
          <w:sz w:val="28"/>
          <w:szCs w:val="28"/>
          <w:lang w:val="en-US" w:eastAsia="zh-CN"/>
        </w:rPr>
        <w:t>2885</w:t>
      </w:r>
      <w:r>
        <w:rPr>
          <w:rFonts w:hint="eastAsia" w:ascii="宋体" w:hAnsi="宋体" w:eastAsia="宋体" w:cs="宋体"/>
          <w:sz w:val="28"/>
          <w:szCs w:val="28"/>
        </w:rPr>
        <w:t>人，学校普通理科投档线高出省本科二批控制线</w:t>
      </w:r>
      <w:r>
        <w:rPr>
          <w:rFonts w:hint="eastAsia" w:ascii="宋体" w:hAnsi="宋体" w:eastAsia="宋体" w:cs="宋体"/>
          <w:sz w:val="28"/>
          <w:szCs w:val="28"/>
          <w:lang w:val="en-US" w:eastAsia="zh-CN"/>
        </w:rPr>
        <w:t>24</w:t>
      </w:r>
      <w:r>
        <w:rPr>
          <w:rFonts w:hint="eastAsia" w:ascii="宋体" w:hAnsi="宋体" w:eastAsia="宋体" w:cs="宋体"/>
          <w:sz w:val="28"/>
          <w:szCs w:val="28"/>
        </w:rPr>
        <w:t>分（湖南分本科提前批、本科一批、本科二批、本科三批）,录取平均分</w:t>
      </w:r>
      <w:r>
        <w:rPr>
          <w:rFonts w:hint="eastAsia" w:ascii="宋体" w:hAnsi="宋体" w:eastAsia="宋体" w:cs="宋体"/>
          <w:sz w:val="28"/>
          <w:szCs w:val="28"/>
          <w:lang w:val="en-US" w:eastAsia="zh-CN"/>
        </w:rPr>
        <w:t>492</w:t>
      </w:r>
      <w:r>
        <w:rPr>
          <w:rFonts w:hint="eastAsia" w:ascii="宋体" w:hAnsi="宋体" w:eastAsia="宋体" w:cs="宋体"/>
          <w:sz w:val="28"/>
          <w:szCs w:val="28"/>
        </w:rPr>
        <w:t>分，平均分高出省本科二批控制线</w:t>
      </w:r>
      <w:r>
        <w:rPr>
          <w:rFonts w:hint="eastAsia" w:ascii="宋体" w:hAnsi="宋体" w:eastAsia="宋体" w:cs="宋体"/>
          <w:sz w:val="28"/>
          <w:szCs w:val="28"/>
          <w:lang w:val="en-US" w:eastAsia="zh-CN"/>
        </w:rPr>
        <w:t>28</w:t>
      </w:r>
      <w:r>
        <w:rPr>
          <w:rFonts w:hint="eastAsia" w:ascii="宋体" w:hAnsi="宋体" w:eastAsia="宋体" w:cs="宋体"/>
          <w:sz w:val="28"/>
          <w:szCs w:val="28"/>
        </w:rPr>
        <w:t>分；学校普通文科投档线高出省本科二批控制线1</w:t>
      </w:r>
      <w:r>
        <w:rPr>
          <w:rFonts w:hint="eastAsia" w:ascii="宋体" w:hAnsi="宋体" w:eastAsia="宋体" w:cs="宋体"/>
          <w:sz w:val="28"/>
          <w:szCs w:val="28"/>
          <w:lang w:val="en-US" w:eastAsia="zh-CN"/>
        </w:rPr>
        <w:t>3</w:t>
      </w:r>
      <w:r>
        <w:rPr>
          <w:rFonts w:hint="eastAsia" w:ascii="宋体" w:hAnsi="宋体" w:eastAsia="宋体" w:cs="宋体"/>
          <w:sz w:val="28"/>
          <w:szCs w:val="28"/>
        </w:rPr>
        <w:t>分,平均分5</w:t>
      </w:r>
      <w:r>
        <w:rPr>
          <w:rFonts w:hint="eastAsia" w:ascii="宋体" w:hAnsi="宋体" w:eastAsia="宋体" w:cs="宋体"/>
          <w:sz w:val="28"/>
          <w:szCs w:val="28"/>
          <w:lang w:val="en-US" w:eastAsia="zh-CN"/>
        </w:rPr>
        <w:t>42</w:t>
      </w:r>
      <w:r>
        <w:rPr>
          <w:rFonts w:hint="eastAsia" w:ascii="宋体" w:hAnsi="宋体" w:eastAsia="宋体" w:cs="宋体"/>
          <w:sz w:val="28"/>
          <w:szCs w:val="28"/>
        </w:rPr>
        <w:t>分，平均分高出省本科二批控制线1</w:t>
      </w:r>
      <w:r>
        <w:rPr>
          <w:rFonts w:hint="eastAsia" w:ascii="宋体" w:hAnsi="宋体" w:eastAsia="宋体" w:cs="宋体"/>
          <w:sz w:val="28"/>
          <w:szCs w:val="28"/>
          <w:lang w:val="en-US" w:eastAsia="zh-CN"/>
        </w:rPr>
        <w:t>6</w:t>
      </w:r>
      <w:r>
        <w:rPr>
          <w:rFonts w:hint="eastAsia" w:ascii="宋体" w:hAnsi="宋体" w:eastAsia="宋体" w:cs="宋体"/>
          <w:sz w:val="28"/>
          <w:szCs w:val="28"/>
        </w:rPr>
        <w:t>分；全国录取一本线上考生</w:t>
      </w:r>
      <w:r>
        <w:rPr>
          <w:rFonts w:hint="eastAsia" w:ascii="宋体" w:hAnsi="宋体" w:eastAsia="宋体" w:cs="宋体"/>
          <w:sz w:val="28"/>
          <w:szCs w:val="28"/>
          <w:lang w:val="en-US" w:eastAsia="zh-CN"/>
        </w:rPr>
        <w:t>91</w:t>
      </w:r>
      <w:r>
        <w:rPr>
          <w:rFonts w:hint="eastAsia" w:ascii="宋体" w:hAnsi="宋体" w:eastAsia="宋体" w:cs="宋体"/>
          <w:sz w:val="28"/>
          <w:szCs w:val="28"/>
        </w:rPr>
        <w:t>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含特殊类招生控制线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生源情况详见下表（艺术体育类、职高对口招生类及少数民族本科预科班不在统计之列）。</w:t>
      </w:r>
    </w:p>
    <w:p>
      <w:pPr>
        <w:jc w:val="center"/>
        <w:rPr>
          <w:rFonts w:hint="eastAsia"/>
          <w:sz w:val="24"/>
          <w:szCs w:val="24"/>
        </w:rPr>
      </w:pPr>
      <w:r>
        <w:tab/>
      </w:r>
      <w:r>
        <w:rPr>
          <w:rFonts w:hint="eastAsia"/>
          <w:sz w:val="24"/>
          <w:szCs w:val="24"/>
        </w:rPr>
        <w:t>表2 生源情况</w:t>
      </w:r>
    </w:p>
    <w:tbl>
      <w:tblPr>
        <w:tblStyle w:val="16"/>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462"/>
        <w:gridCol w:w="685"/>
        <w:gridCol w:w="641"/>
        <w:gridCol w:w="886"/>
        <w:gridCol w:w="573"/>
        <w:gridCol w:w="695"/>
        <w:gridCol w:w="887"/>
        <w:gridCol w:w="736"/>
        <w:gridCol w:w="736"/>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75" w:type="dxa"/>
            <w:vMerge w:val="restart"/>
            <w:tcBorders>
              <w:top w:val="doub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省份</w:t>
            </w:r>
          </w:p>
        </w:tc>
        <w:tc>
          <w:tcPr>
            <w:tcW w:w="1462" w:type="dxa"/>
            <w:vMerge w:val="restart"/>
            <w:tcBorders>
              <w:top w:val="doub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批次</w:t>
            </w:r>
          </w:p>
        </w:tc>
        <w:tc>
          <w:tcPr>
            <w:tcW w:w="2212" w:type="dxa"/>
            <w:gridSpan w:val="3"/>
            <w:tcBorders>
              <w:top w:val="doub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录取数</w:t>
            </w:r>
          </w:p>
        </w:tc>
        <w:tc>
          <w:tcPr>
            <w:tcW w:w="2155" w:type="dxa"/>
            <w:gridSpan w:val="3"/>
            <w:tcBorders>
              <w:top w:val="doub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批次最低控制线（分）</w:t>
            </w:r>
          </w:p>
        </w:tc>
        <w:tc>
          <w:tcPr>
            <w:tcW w:w="2377" w:type="dxa"/>
            <w:gridSpan w:val="3"/>
            <w:tcBorders>
              <w:top w:val="doub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当年录取平均分与批次最低控制线的差值（分）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675" w:type="dxa"/>
            <w:vMerge w:val="continue"/>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文科</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理科</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不分文理</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文科</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理科</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不分文理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文科</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理科</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不分文理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北京市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天津市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476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河北省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67.61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111.61</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山西省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第二批次招生B</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29</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24.33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内蒙古自治区</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437</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333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64.17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73.58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辽宁省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472</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359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62.71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109.15</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吉林省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17</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371</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336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108.16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106.18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上海市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江苏省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284</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313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38.3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22.86</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浙江省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495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安徽省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499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39.05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69.54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福建省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eastAsia" w:ascii="等线" w:hAnsi="等线" w:eastAsia="等线"/>
                <w:color w:val="000000"/>
                <w:sz w:val="18"/>
              </w:rPr>
              <w:t>提前批招生</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71.08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福建省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81.6</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江西省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488</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55.3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山东省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449</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河南省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79.2</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120.43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湖北省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426</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395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51.6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101</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湖南省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496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1500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526</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16.38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28.93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湖南省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eastAsia" w:ascii="等线" w:hAnsi="等线" w:eastAsia="等线"/>
                <w:color w:val="000000"/>
                <w:sz w:val="18"/>
              </w:rPr>
              <w:t>提前批招生</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209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526</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6.87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28.62</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广东省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76.5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87.47</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广西壮族自治区</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11</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381</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353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75.88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122.64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海南省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90.42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重庆市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443</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72.5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62.8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四川省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459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50.35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59.43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贵州省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463</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384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70.6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50.4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云南省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480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62</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陕西省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350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93.67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89.4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甘肃省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372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68.5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36.9</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新疆维吾尔自治区</w:t>
            </w:r>
          </w:p>
        </w:tc>
        <w:tc>
          <w:tcPr>
            <w:tcW w:w="1462"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w:t>
            </w:r>
          </w:p>
        </w:tc>
        <w:tc>
          <w:tcPr>
            <w:tcW w:w="641"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11</w:t>
            </w:r>
          </w:p>
        </w:tc>
        <w:tc>
          <w:tcPr>
            <w:tcW w:w="886"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370</w:t>
            </w:r>
          </w:p>
        </w:tc>
        <w:tc>
          <w:tcPr>
            <w:tcW w:w="695"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317</w:t>
            </w:r>
          </w:p>
        </w:tc>
        <w:tc>
          <w:tcPr>
            <w:tcW w:w="887"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84.4</w:t>
            </w:r>
          </w:p>
        </w:tc>
        <w:tc>
          <w:tcPr>
            <w:tcW w:w="736"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91.16</w:t>
            </w:r>
          </w:p>
        </w:tc>
        <w:tc>
          <w:tcPr>
            <w:tcW w:w="905" w:type="dxa"/>
            <w:tcBorders>
              <w:top w:val="single" w:color="000000" w:sz="4" w:space="0"/>
              <w:left w:val="single" w:color="000000" w:sz="4" w:space="0"/>
              <w:bottom w:val="doub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bl>
    <w:p>
      <w:pPr>
        <w:jc w:val="left"/>
      </w:pPr>
    </w:p>
    <w:p>
      <w:pPr>
        <w:pStyle w:val="4"/>
        <w:jc w:val="left"/>
      </w:pPr>
      <w:bookmarkStart w:id="10" w:name="_Toc15341"/>
      <w:bookmarkStart w:id="11" w:name="_Toc19495"/>
      <w:r>
        <w:rPr>
          <w:rFonts w:hint="eastAsia" w:ascii="黑体" w:hAnsi="黑体" w:eastAsia="黑体"/>
          <w:sz w:val="28"/>
          <w:szCs w:val="28"/>
        </w:rPr>
        <w:t>二、师资与教学条件</w:t>
      </w:r>
      <w:bookmarkEnd w:id="10"/>
      <w:bookmarkEnd w:id="11"/>
    </w:p>
    <w:p>
      <w:pPr>
        <w:pStyle w:val="5"/>
        <w:jc w:val="left"/>
      </w:pPr>
      <w:bookmarkStart w:id="12" w:name="_Toc32006"/>
      <w:bookmarkStart w:id="13" w:name="_Toc10814"/>
      <w:r>
        <w:rPr>
          <w:rFonts w:hint="eastAsia" w:ascii="黑体" w:hAnsi="黑体" w:eastAsia="黑体"/>
          <w:sz w:val="28"/>
          <w:szCs w:val="28"/>
        </w:rPr>
        <w:t>（一）师资队伍</w:t>
      </w:r>
      <w:bookmarkEnd w:id="12"/>
      <w:bookmarkEnd w:id="13"/>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tab/>
      </w:r>
      <w:r>
        <w:rPr>
          <w:rFonts w:hint="eastAsia"/>
          <w:lang w:val="en-US" w:eastAsia="zh-CN"/>
        </w:rPr>
        <w:t xml:space="preserve"> </w:t>
      </w:r>
      <w:r>
        <w:rPr>
          <w:rFonts w:hint="eastAsia" w:ascii="宋体" w:hAnsi="宋体" w:eastAsia="宋体" w:cs="宋体"/>
          <w:sz w:val="28"/>
          <w:szCs w:val="28"/>
        </w:rPr>
        <w:t>学校现有专任教师</w:t>
      </w:r>
      <w:r>
        <w:rPr>
          <w:rFonts w:hint="eastAsia" w:ascii="宋体" w:hAnsi="宋体" w:eastAsia="宋体" w:cs="宋体"/>
          <w:sz w:val="28"/>
          <w:szCs w:val="28"/>
          <w:lang w:val="en-US" w:eastAsia="zh-CN"/>
        </w:rPr>
        <w:t>869</w:t>
      </w:r>
      <w:r>
        <w:rPr>
          <w:rFonts w:hint="eastAsia" w:ascii="宋体" w:hAnsi="宋体" w:eastAsia="宋体" w:cs="宋体"/>
          <w:sz w:val="28"/>
          <w:szCs w:val="28"/>
        </w:rPr>
        <w:t>人、外聘教师</w:t>
      </w:r>
      <w:r>
        <w:rPr>
          <w:rFonts w:hint="eastAsia" w:ascii="宋体" w:hAnsi="宋体" w:eastAsia="宋体" w:cs="宋体"/>
          <w:sz w:val="28"/>
          <w:szCs w:val="28"/>
          <w:lang w:val="en-US" w:eastAsia="zh-CN"/>
        </w:rPr>
        <w:t>130</w:t>
      </w:r>
      <w:r>
        <w:rPr>
          <w:rFonts w:hint="eastAsia" w:ascii="宋体" w:hAnsi="宋体" w:eastAsia="宋体" w:cs="宋体"/>
          <w:sz w:val="28"/>
          <w:szCs w:val="28"/>
        </w:rPr>
        <w:t>人，折合教师总数为</w:t>
      </w:r>
      <w:r>
        <w:rPr>
          <w:rFonts w:hint="eastAsia" w:ascii="宋体" w:hAnsi="宋体" w:eastAsia="宋体" w:cs="宋体"/>
          <w:sz w:val="28"/>
          <w:szCs w:val="28"/>
          <w:lang w:val="en-US" w:eastAsia="zh-CN"/>
        </w:rPr>
        <w:t>934</w:t>
      </w:r>
      <w:r>
        <w:rPr>
          <w:rFonts w:hint="eastAsia" w:ascii="宋体" w:hAnsi="宋体" w:eastAsia="宋体" w:cs="宋体"/>
          <w:sz w:val="28"/>
          <w:szCs w:val="28"/>
        </w:rPr>
        <w:t>人，外聘教师与专任教师人数之比为</w:t>
      </w:r>
      <w:r>
        <w:rPr>
          <w:rFonts w:hint="eastAsia" w:ascii="宋体" w:hAnsi="宋体" w:eastAsia="宋体" w:cs="宋体"/>
          <w:sz w:val="28"/>
          <w:szCs w:val="28"/>
        </w:rPr>
        <w:tab/>
      </w:r>
      <w:r>
        <w:rPr>
          <w:rFonts w:hint="eastAsia" w:ascii="宋体" w:hAnsi="宋体" w:eastAsia="宋体" w:cs="宋体"/>
          <w:sz w:val="28"/>
          <w:szCs w:val="28"/>
          <w:lang w:val="en-US" w:eastAsia="zh-CN"/>
        </w:rPr>
        <w:t>0.15:1</w:t>
      </w:r>
      <w:r>
        <w:rPr>
          <w:rFonts w:hint="eastAsia" w:ascii="宋体" w:hAnsi="宋体" w:eastAsia="宋体" w:cs="宋体"/>
          <w:sz w:val="28"/>
          <w:szCs w:val="28"/>
        </w:rPr>
        <w:t>。按折合学生数</w:t>
      </w:r>
      <w:r>
        <w:rPr>
          <w:rFonts w:hint="eastAsia" w:ascii="宋体" w:hAnsi="宋体" w:eastAsia="宋体" w:cs="宋体"/>
          <w:sz w:val="28"/>
          <w:szCs w:val="28"/>
          <w:lang w:val="en-US" w:eastAsia="zh-CN"/>
        </w:rPr>
        <w:t>16178.2</w:t>
      </w:r>
      <w:r>
        <w:rPr>
          <w:rFonts w:hint="eastAsia" w:ascii="宋体" w:hAnsi="宋体" w:eastAsia="宋体" w:cs="宋体"/>
          <w:sz w:val="28"/>
          <w:szCs w:val="28"/>
        </w:rPr>
        <w:t>计算，生师比为</w:t>
      </w:r>
      <w:r>
        <w:rPr>
          <w:rFonts w:hint="eastAsia" w:ascii="宋体" w:hAnsi="宋体" w:eastAsia="宋体" w:cs="宋体"/>
          <w:sz w:val="28"/>
          <w:szCs w:val="28"/>
          <w:lang w:val="en-US" w:eastAsia="zh-CN"/>
        </w:rPr>
        <w:t>17.32:1</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专任教师中，“双师型”教师</w:t>
      </w:r>
      <w:r>
        <w:rPr>
          <w:rFonts w:hint="eastAsia" w:ascii="宋体" w:hAnsi="宋体" w:eastAsia="宋体" w:cs="宋体"/>
          <w:sz w:val="28"/>
          <w:szCs w:val="28"/>
          <w:lang w:val="en-US" w:eastAsia="zh-CN"/>
        </w:rPr>
        <w:t>213</w:t>
      </w:r>
      <w:r>
        <w:rPr>
          <w:rFonts w:hint="eastAsia" w:ascii="宋体" w:hAnsi="宋体" w:eastAsia="宋体" w:cs="宋体"/>
          <w:sz w:val="28"/>
          <w:szCs w:val="28"/>
        </w:rPr>
        <w:t>人，占专任教师的比例为</w:t>
      </w:r>
      <w:r>
        <w:rPr>
          <w:rFonts w:hint="eastAsia" w:ascii="宋体" w:hAnsi="宋体" w:eastAsia="宋体" w:cs="宋体"/>
          <w:sz w:val="28"/>
          <w:szCs w:val="28"/>
          <w:lang w:val="en-US" w:eastAsia="zh-CN"/>
        </w:rPr>
        <w:t>24.51</w:t>
      </w:r>
      <w:r>
        <w:rPr>
          <w:rFonts w:hint="eastAsia" w:ascii="宋体" w:hAnsi="宋体" w:eastAsia="宋体" w:cs="宋体"/>
          <w:sz w:val="28"/>
          <w:szCs w:val="28"/>
        </w:rPr>
        <w:t>%；具有高级职称的专任教师</w:t>
      </w:r>
      <w:r>
        <w:rPr>
          <w:rFonts w:hint="eastAsia" w:ascii="宋体" w:hAnsi="宋体" w:eastAsia="宋体" w:cs="宋体"/>
          <w:sz w:val="28"/>
          <w:szCs w:val="28"/>
          <w:lang w:val="en-US" w:eastAsia="zh-CN"/>
        </w:rPr>
        <w:t>360</w:t>
      </w:r>
      <w:r>
        <w:rPr>
          <w:rFonts w:hint="eastAsia" w:ascii="宋体" w:hAnsi="宋体" w:eastAsia="宋体" w:cs="宋体"/>
          <w:sz w:val="28"/>
          <w:szCs w:val="28"/>
        </w:rPr>
        <w:t>人，占专任教师的比例为</w:t>
      </w:r>
      <w:r>
        <w:rPr>
          <w:rFonts w:hint="eastAsia" w:ascii="宋体" w:hAnsi="宋体" w:eastAsia="宋体" w:cs="宋体"/>
          <w:sz w:val="28"/>
          <w:szCs w:val="28"/>
          <w:lang w:val="en-US" w:eastAsia="zh-CN"/>
        </w:rPr>
        <w:t>41.43</w:t>
      </w:r>
      <w:r>
        <w:rPr>
          <w:rFonts w:hint="eastAsia" w:ascii="宋体" w:hAnsi="宋体" w:eastAsia="宋体" w:cs="宋体"/>
          <w:sz w:val="28"/>
          <w:szCs w:val="28"/>
        </w:rPr>
        <w:t>%；具有研究生学位（硕士和博士）的专任教师</w:t>
      </w:r>
      <w:r>
        <w:rPr>
          <w:rFonts w:hint="eastAsia" w:ascii="宋体" w:hAnsi="宋体" w:eastAsia="宋体" w:cs="宋体"/>
          <w:sz w:val="28"/>
          <w:szCs w:val="28"/>
          <w:lang w:val="en-US" w:eastAsia="zh-CN"/>
        </w:rPr>
        <w:t>802</w:t>
      </w:r>
      <w:r>
        <w:rPr>
          <w:rFonts w:hint="eastAsia" w:ascii="宋体" w:hAnsi="宋体" w:eastAsia="宋体" w:cs="宋体"/>
          <w:sz w:val="28"/>
          <w:szCs w:val="28"/>
        </w:rPr>
        <w:t>人，占专任教师的比例为</w:t>
      </w:r>
      <w:r>
        <w:rPr>
          <w:rFonts w:hint="eastAsia" w:ascii="宋体" w:hAnsi="宋体" w:eastAsia="宋体" w:cs="宋体"/>
          <w:sz w:val="28"/>
          <w:szCs w:val="28"/>
          <w:lang w:val="en-US" w:eastAsia="zh-CN"/>
        </w:rPr>
        <w:t>92.29</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本学年度，学校</w:t>
      </w:r>
      <w:r>
        <w:rPr>
          <w:rFonts w:hint="eastAsia" w:ascii="宋体" w:hAnsi="宋体" w:eastAsia="宋体" w:cs="宋体"/>
          <w:sz w:val="28"/>
          <w:szCs w:val="28"/>
          <w:lang w:val="en-US" w:eastAsia="zh-CN"/>
        </w:rPr>
        <w:t>从以下几个方面</w:t>
      </w:r>
      <w:r>
        <w:rPr>
          <w:rFonts w:hint="eastAsia" w:ascii="宋体" w:hAnsi="宋体" w:eastAsia="宋体" w:cs="宋体"/>
          <w:sz w:val="28"/>
          <w:szCs w:val="28"/>
        </w:rPr>
        <w:t>继续</w:t>
      </w:r>
      <w:r>
        <w:rPr>
          <w:rFonts w:hint="eastAsia" w:ascii="宋体" w:hAnsi="宋体" w:eastAsia="宋体" w:cs="宋体"/>
          <w:sz w:val="28"/>
          <w:szCs w:val="28"/>
          <w:lang w:val="en-US" w:eastAsia="zh-CN"/>
        </w:rPr>
        <w:t>强化</w:t>
      </w:r>
      <w:r>
        <w:rPr>
          <w:rFonts w:hint="eastAsia" w:ascii="宋体" w:hAnsi="宋体" w:eastAsia="宋体" w:cs="宋体"/>
          <w:sz w:val="28"/>
          <w:szCs w:val="28"/>
        </w:rPr>
        <w:t>师资队伍建设</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一是进一步加大高层次人才引进和培养力度。</w:t>
      </w:r>
      <w:r>
        <w:rPr>
          <w:rFonts w:hint="eastAsia" w:ascii="宋体" w:hAnsi="宋体" w:eastAsia="宋体" w:cs="宋体"/>
          <w:sz w:val="28"/>
          <w:szCs w:val="28"/>
          <w:lang w:val="en-US" w:eastAsia="zh-CN"/>
        </w:rPr>
        <w:t>共引进高层次人才73人，其中具有高级职称博士34人，学科（学术）带头人20人，体育、美术专业博士5人，新办专业博士9人。校内共计80名教师报名参加委托培养博士计划，21名教师在职或脱产攻读博士学位。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二是不断优化专任教师队伍结构。共聘用专任教师79人，学校内部调配师资31人，除个别停招专业以及2020年新办专业外，各专业生师比日趋合理，专业教师数量较好满足专业教学需要。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三是</w:t>
      </w:r>
      <w:r>
        <w:rPr>
          <w:rFonts w:hint="eastAsia" w:ascii="宋体" w:hAnsi="宋体" w:eastAsia="宋体" w:cs="宋体"/>
          <w:sz w:val="28"/>
          <w:szCs w:val="28"/>
          <w:lang w:val="en-US" w:eastAsia="zh-CN"/>
        </w:rPr>
        <w:t>加强</w:t>
      </w:r>
      <w:r>
        <w:rPr>
          <w:rFonts w:hint="eastAsia" w:ascii="宋体" w:hAnsi="宋体" w:eastAsia="宋体" w:cs="宋体"/>
          <w:sz w:val="28"/>
          <w:szCs w:val="28"/>
          <w:lang w:eastAsia="zh-CN"/>
        </w:rPr>
        <w:t>双师双能型教师、创新创业教师、实验技术人员、辅导员、</w:t>
      </w:r>
      <w:r>
        <w:rPr>
          <w:rFonts w:hint="eastAsia" w:ascii="宋体" w:hAnsi="宋体" w:eastAsia="宋体" w:cs="宋体"/>
          <w:sz w:val="28"/>
          <w:szCs w:val="28"/>
          <w:lang w:val="en-US" w:eastAsia="zh-CN"/>
        </w:rPr>
        <w:t>思想政治课</w:t>
      </w:r>
      <w:r>
        <w:rPr>
          <w:rFonts w:hint="eastAsia" w:ascii="宋体" w:hAnsi="宋体" w:eastAsia="宋体" w:cs="宋体"/>
          <w:sz w:val="28"/>
          <w:szCs w:val="28"/>
          <w:lang w:eastAsia="zh-CN"/>
        </w:rPr>
        <w:t>教师、外聘教师等教师队伍</w:t>
      </w:r>
      <w:r>
        <w:rPr>
          <w:rFonts w:hint="eastAsia" w:ascii="宋体" w:hAnsi="宋体" w:eastAsia="宋体" w:cs="宋体"/>
          <w:sz w:val="28"/>
          <w:szCs w:val="28"/>
          <w:lang w:val="en-US" w:eastAsia="zh-CN"/>
        </w:rPr>
        <w:t>建设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共引进和培育双师双能型教师74人,向企业、政府外派兼职以及挂职人员23人，在2020年聘用的专任教师中，具有企业行业工作经验52人，外聘93名具有行业企业经验教师。聘请了以中青世纪投资公司出总经理张亚红、浙江我武生物科技股份有限公司董事长胡赓熙、全国创业培训工作指导委员会专家叶仁平等为代表的93名各领域优秀专家担任创新创业导师，创新创业教师总数达到117人，较上一年度增加17%。新增实验技术人员9人，选送了1名实验教师攻读博士学位，1名实验教师攻读硕士学位，新增博士学位人员1人、新增高级职称人员3人，实验技术人员队伍结构不断优化。新增辅导员7人，新增思政课专职教师4人，新增心理健康教育专职教师1人，心理健康教育专职教师配备率达到100%，辅导员配备率达到98.7%，思政课教师配备率超过80%。此外，近一年来学校分别选送7名辅导员、1名心理健康教育专职教师、1名思政课教师以委托培养方式在职攻读博士学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rPr>
      </w:pPr>
      <w:r>
        <w:rPr>
          <w:rFonts w:hint="eastAsia" w:ascii="宋体" w:hAnsi="宋体" w:eastAsia="宋体" w:cs="宋体"/>
          <w:sz w:val="28"/>
          <w:szCs w:val="28"/>
          <w:lang w:val="en-US" w:eastAsia="zh-CN"/>
        </w:rPr>
        <w:t>四是提升外聘教师数量和质量。按照“不为所有，但求所用”的原则，外聘130名教师，其中，具有硕士学位和高级职称人数占73.01%，具有企业行业经验的占71.54%，聘用长江学者1名，聘用湖南省芙蓉学者讲座教授1名。</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近两学年教师总数详见表3。</w:t>
      </w:r>
    </w:p>
    <w:p>
      <w:pPr>
        <w:jc w:val="center"/>
      </w:pPr>
      <w:r>
        <w:tab/>
      </w:r>
      <w:r>
        <w:rPr>
          <w:rFonts w:hint="eastAsia" w:ascii="宋体" w:hAnsi="宋体" w:eastAsia="宋体"/>
          <w:sz w:val="24"/>
          <w:szCs w:val="24"/>
        </w:rPr>
        <w:t>表3 近两学年教师总数</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0"/>
        <w:gridCol w:w="1737"/>
        <w:gridCol w:w="1682"/>
        <w:gridCol w:w="2043"/>
        <w:gridCol w:w="17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45" w:type="pct"/>
            <w:vAlign w:val="center"/>
          </w:tcPr>
          <w:p>
            <w:pPr>
              <w:jc w:val="center"/>
            </w:pPr>
          </w:p>
        </w:tc>
        <w:tc>
          <w:tcPr>
            <w:tcW w:w="1019" w:type="pct"/>
            <w:vAlign w:val="center"/>
          </w:tcPr>
          <w:p>
            <w:pPr>
              <w:jc w:val="center"/>
            </w:pPr>
            <w:r>
              <w:rPr>
                <w:rFonts w:hint="eastAsia" w:ascii="宋体" w:hAnsi="宋体" w:eastAsia="宋体"/>
                <w:b/>
                <w:sz w:val="21"/>
                <w:szCs w:val="21"/>
              </w:rPr>
              <w:t>专任教师数</w:t>
            </w:r>
          </w:p>
        </w:tc>
        <w:tc>
          <w:tcPr>
            <w:tcW w:w="986" w:type="pct"/>
            <w:vAlign w:val="center"/>
          </w:tcPr>
          <w:p>
            <w:pPr>
              <w:jc w:val="center"/>
            </w:pPr>
            <w:r>
              <w:rPr>
                <w:rFonts w:hint="eastAsia" w:ascii="宋体" w:hAnsi="宋体" w:eastAsia="宋体"/>
                <w:b/>
                <w:sz w:val="21"/>
                <w:szCs w:val="21"/>
              </w:rPr>
              <w:t>外聘教师数</w:t>
            </w:r>
          </w:p>
        </w:tc>
        <w:tc>
          <w:tcPr>
            <w:tcW w:w="1198" w:type="pct"/>
            <w:vAlign w:val="center"/>
          </w:tcPr>
          <w:p>
            <w:pPr>
              <w:jc w:val="center"/>
            </w:pPr>
            <w:r>
              <w:rPr>
                <w:rFonts w:hint="eastAsia" w:ascii="宋体" w:hAnsi="宋体" w:eastAsia="宋体"/>
                <w:b/>
                <w:sz w:val="21"/>
                <w:szCs w:val="21"/>
              </w:rPr>
              <w:t>折合教师总数</w:t>
            </w:r>
          </w:p>
        </w:tc>
        <w:tc>
          <w:tcPr>
            <w:tcW w:w="1050" w:type="pct"/>
            <w:vAlign w:val="center"/>
          </w:tcPr>
          <w:p>
            <w:pPr>
              <w:jc w:val="center"/>
            </w:pPr>
            <w:r>
              <w:rPr>
                <w:rFonts w:hint="eastAsia" w:ascii="宋体" w:hAnsi="宋体" w:eastAsia="宋体"/>
                <w:b/>
                <w:sz w:val="21"/>
                <w:szCs w:val="21"/>
              </w:rPr>
              <w:t>生师比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45" w:type="pct"/>
            <w:vAlign w:val="center"/>
          </w:tcPr>
          <w:p>
            <w:pPr>
              <w:jc w:val="center"/>
            </w:pPr>
            <w:r>
              <w:rPr>
                <w:rFonts w:hint="eastAsia" w:ascii="宋体" w:hAnsi="宋体" w:eastAsia="宋体"/>
                <w:b/>
                <w:sz w:val="21"/>
                <w:szCs w:val="21"/>
              </w:rPr>
              <w:t>本学年</w:t>
            </w:r>
          </w:p>
        </w:tc>
        <w:tc>
          <w:tcPr>
            <w:tcW w:w="1019" w:type="pct"/>
            <w:vAlign w:val="center"/>
          </w:tcPr>
          <w:p>
            <w:pPr>
              <w:jc w:val="center"/>
              <w:rPr>
                <w:u w:val="none"/>
              </w:rPr>
            </w:pPr>
            <w:r>
              <w:rPr>
                <w:rFonts w:hint="eastAsia" w:ascii="宋体" w:hAnsi="宋体" w:eastAsia="宋体"/>
                <w:sz w:val="24"/>
                <w:szCs w:val="24"/>
                <w:u w:val="none"/>
                <w:lang w:val="en-US" w:eastAsia="zh-CN"/>
              </w:rPr>
              <w:t>869</w:t>
            </w:r>
          </w:p>
        </w:tc>
        <w:tc>
          <w:tcPr>
            <w:tcW w:w="986" w:type="pct"/>
            <w:vAlign w:val="center"/>
          </w:tcPr>
          <w:p>
            <w:pPr>
              <w:jc w:val="center"/>
              <w:rPr>
                <w:u w:val="none"/>
              </w:rPr>
            </w:pPr>
            <w:r>
              <w:rPr>
                <w:rFonts w:hint="eastAsia" w:ascii="宋体" w:hAnsi="宋体" w:eastAsia="宋体"/>
                <w:sz w:val="24"/>
                <w:szCs w:val="24"/>
                <w:u w:val="none"/>
                <w:lang w:val="en-US" w:eastAsia="zh-CN"/>
              </w:rPr>
              <w:t>130</w:t>
            </w:r>
          </w:p>
        </w:tc>
        <w:tc>
          <w:tcPr>
            <w:tcW w:w="1198" w:type="pct"/>
            <w:vAlign w:val="center"/>
          </w:tcPr>
          <w:p>
            <w:pPr>
              <w:jc w:val="center"/>
              <w:rPr>
                <w:u w:val="none"/>
              </w:rPr>
            </w:pPr>
            <w:r>
              <w:rPr>
                <w:rFonts w:hint="eastAsia" w:ascii="宋体" w:hAnsi="宋体" w:eastAsia="宋体"/>
                <w:sz w:val="24"/>
                <w:szCs w:val="24"/>
                <w:u w:val="none"/>
                <w:lang w:val="en-US" w:eastAsia="zh-CN"/>
              </w:rPr>
              <w:t>934.0</w:t>
            </w:r>
          </w:p>
        </w:tc>
        <w:tc>
          <w:tcPr>
            <w:tcW w:w="1050" w:type="pct"/>
            <w:vAlign w:val="center"/>
          </w:tcPr>
          <w:p>
            <w:pPr>
              <w:jc w:val="center"/>
              <w:rPr>
                <w:u w:val="none"/>
              </w:rPr>
            </w:pPr>
            <w:r>
              <w:rPr>
                <w:rFonts w:hint="eastAsia" w:ascii="宋体" w:hAnsi="宋体" w:eastAsia="宋体"/>
                <w:sz w:val="24"/>
                <w:szCs w:val="24"/>
                <w:u w:val="none"/>
                <w:lang w:val="en-US" w:eastAsia="zh-CN"/>
              </w:rPr>
              <w:t>17.32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45" w:type="pct"/>
            <w:vAlign w:val="center"/>
          </w:tcPr>
          <w:p>
            <w:pPr>
              <w:jc w:val="center"/>
            </w:pPr>
            <w:r>
              <w:rPr>
                <w:rFonts w:hint="eastAsia" w:ascii="宋体" w:hAnsi="宋体" w:eastAsia="宋体"/>
                <w:b/>
                <w:sz w:val="21"/>
                <w:szCs w:val="21"/>
              </w:rPr>
              <w:t>上学年</w:t>
            </w:r>
          </w:p>
        </w:tc>
        <w:tc>
          <w:tcPr>
            <w:tcW w:w="1019" w:type="pct"/>
            <w:vAlign w:val="center"/>
          </w:tcPr>
          <w:p>
            <w:pPr>
              <w:jc w:val="center"/>
              <w:rPr>
                <w:u w:val="none"/>
              </w:rPr>
            </w:pPr>
            <w:r>
              <w:rPr>
                <w:rFonts w:hint="eastAsia" w:ascii="宋体" w:hAnsi="宋体" w:eastAsia="宋体"/>
                <w:sz w:val="24"/>
                <w:szCs w:val="24"/>
                <w:u w:val="none"/>
                <w:lang w:val="en-US" w:eastAsia="zh-CN"/>
              </w:rPr>
              <w:t>818</w:t>
            </w:r>
          </w:p>
        </w:tc>
        <w:tc>
          <w:tcPr>
            <w:tcW w:w="986" w:type="pct"/>
            <w:vAlign w:val="center"/>
          </w:tcPr>
          <w:p>
            <w:pPr>
              <w:jc w:val="center"/>
              <w:rPr>
                <w:u w:val="none"/>
              </w:rPr>
            </w:pPr>
            <w:r>
              <w:rPr>
                <w:rFonts w:hint="eastAsia" w:ascii="宋体" w:hAnsi="宋体" w:eastAsia="宋体"/>
                <w:sz w:val="24"/>
                <w:szCs w:val="24"/>
                <w:u w:val="none"/>
                <w:lang w:val="en-US" w:eastAsia="zh-CN"/>
              </w:rPr>
              <w:t>127</w:t>
            </w:r>
          </w:p>
        </w:tc>
        <w:tc>
          <w:tcPr>
            <w:tcW w:w="1198" w:type="pct"/>
            <w:vAlign w:val="center"/>
          </w:tcPr>
          <w:p>
            <w:pPr>
              <w:jc w:val="center"/>
              <w:rPr>
                <w:u w:val="none"/>
              </w:rPr>
            </w:pPr>
            <w:r>
              <w:rPr>
                <w:rFonts w:hint="eastAsia" w:ascii="宋体" w:hAnsi="宋体" w:eastAsia="宋体"/>
                <w:sz w:val="24"/>
                <w:szCs w:val="24"/>
                <w:u w:val="none"/>
                <w:lang w:val="en-US" w:eastAsia="zh-CN"/>
              </w:rPr>
              <w:t>881.5</w:t>
            </w:r>
          </w:p>
        </w:tc>
        <w:tc>
          <w:tcPr>
            <w:tcW w:w="1050" w:type="pct"/>
            <w:vAlign w:val="center"/>
          </w:tcPr>
          <w:p>
            <w:pPr>
              <w:jc w:val="center"/>
              <w:rPr>
                <w:u w:val="none"/>
              </w:rPr>
            </w:pPr>
            <w:r>
              <w:rPr>
                <w:rFonts w:hint="eastAsia" w:ascii="宋体" w:hAnsi="宋体" w:eastAsia="宋体"/>
                <w:sz w:val="24"/>
                <w:szCs w:val="24"/>
                <w:u w:val="none"/>
                <w:lang w:val="en-US" w:eastAsia="zh-CN"/>
              </w:rPr>
              <w:t>17.75</w:t>
            </w:r>
          </w:p>
        </w:tc>
      </w:tr>
    </w:tbl>
    <w:p>
      <w:pPr>
        <w:jc w:val="left"/>
      </w:pPr>
    </w:p>
    <w:p>
      <w:pPr>
        <w:jc w:val="left"/>
      </w:pPr>
      <w:r>
        <w:tab/>
      </w:r>
      <w:r>
        <w:rPr>
          <w:rFonts w:hint="eastAsia" w:ascii="宋体" w:hAnsi="宋体" w:eastAsia="宋体" w:cs="宋体"/>
          <w:sz w:val="28"/>
          <w:szCs w:val="28"/>
        </w:rPr>
        <w:t>教师队伍职称、学位、年龄的结构详见表4。</w:t>
      </w:r>
    </w:p>
    <w:p>
      <w:pPr>
        <w:jc w:val="center"/>
      </w:pPr>
      <w:r>
        <w:tab/>
      </w:r>
      <w:r>
        <w:rPr>
          <w:rFonts w:hint="eastAsia" w:ascii="宋体" w:hAnsi="宋体" w:eastAsia="宋体"/>
          <w:sz w:val="24"/>
          <w:szCs w:val="24"/>
        </w:rPr>
        <w:t>表4 教师队伍职称、学位、年龄结构</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1"/>
        <w:gridCol w:w="1405"/>
        <w:gridCol w:w="1035"/>
        <w:gridCol w:w="2133"/>
        <w:gridCol w:w="1093"/>
        <w:gridCol w:w="20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restart"/>
            <w:vAlign w:val="center"/>
          </w:tcPr>
          <w:p>
            <w:pPr>
              <w:jc w:val="center"/>
              <w:rPr>
                <w:rFonts w:hint="eastAsia" w:ascii="宋体" w:hAnsi="宋体" w:eastAsia="宋体"/>
                <w:b/>
                <w:sz w:val="21"/>
                <w:szCs w:val="21"/>
              </w:rPr>
            </w:pPr>
            <w:r>
              <w:rPr>
                <w:rFonts w:hint="eastAsia" w:ascii="宋体" w:hAnsi="宋体" w:eastAsia="宋体"/>
                <w:b/>
                <w:sz w:val="21"/>
                <w:szCs w:val="21"/>
              </w:rPr>
              <w:t>项目</w:t>
            </w:r>
          </w:p>
        </w:tc>
        <w:tc>
          <w:tcPr>
            <w:tcW w:w="1858" w:type="pct"/>
            <w:gridSpan w:val="2"/>
            <w:vAlign w:val="center"/>
          </w:tcPr>
          <w:p>
            <w:pPr>
              <w:jc w:val="center"/>
            </w:pPr>
            <w:r>
              <w:rPr>
                <w:rFonts w:hint="eastAsia" w:ascii="宋体" w:hAnsi="宋体" w:eastAsia="宋体"/>
                <w:b/>
                <w:sz w:val="21"/>
                <w:szCs w:val="21"/>
              </w:rPr>
              <w:t>专任教师</w:t>
            </w:r>
          </w:p>
        </w:tc>
        <w:tc>
          <w:tcPr>
            <w:tcW w:w="1858" w:type="pct"/>
            <w:gridSpan w:val="2"/>
            <w:vAlign w:val="center"/>
          </w:tcPr>
          <w:p>
            <w:pPr>
              <w:jc w:val="center"/>
            </w:pPr>
            <w:r>
              <w:rPr>
                <w:rFonts w:hint="eastAsia" w:ascii="宋体" w:hAnsi="宋体" w:eastAsia="宋体"/>
                <w:b/>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continue"/>
            <w:vAlign w:val="center"/>
          </w:tcPr>
          <w:p>
            <w:pPr>
              <w:jc w:val="center"/>
            </w:pPr>
          </w:p>
        </w:tc>
        <w:tc>
          <w:tcPr>
            <w:tcW w:w="607" w:type="pct"/>
            <w:vAlign w:val="center"/>
          </w:tcPr>
          <w:p>
            <w:pPr>
              <w:jc w:val="center"/>
            </w:pPr>
            <w:r>
              <w:rPr>
                <w:rFonts w:hint="eastAsia" w:ascii="宋体" w:hAnsi="宋体" w:eastAsia="宋体"/>
                <w:b/>
                <w:sz w:val="21"/>
                <w:szCs w:val="21"/>
              </w:rPr>
              <w:t>数量</w:t>
            </w:r>
          </w:p>
        </w:tc>
        <w:tc>
          <w:tcPr>
            <w:tcW w:w="1251" w:type="pct"/>
            <w:vAlign w:val="center"/>
          </w:tcPr>
          <w:p>
            <w:pPr>
              <w:jc w:val="center"/>
            </w:pPr>
            <w:r>
              <w:rPr>
                <w:rFonts w:hint="eastAsia" w:ascii="宋体" w:hAnsi="宋体" w:eastAsia="宋体"/>
                <w:b/>
                <w:sz w:val="21"/>
                <w:szCs w:val="21"/>
              </w:rPr>
              <w:t>比例（%）</w:t>
            </w:r>
          </w:p>
        </w:tc>
        <w:tc>
          <w:tcPr>
            <w:tcW w:w="641" w:type="pct"/>
            <w:vAlign w:val="center"/>
          </w:tcPr>
          <w:p>
            <w:pPr>
              <w:jc w:val="center"/>
            </w:pPr>
            <w:r>
              <w:rPr>
                <w:rFonts w:hint="eastAsia" w:ascii="宋体" w:hAnsi="宋体" w:eastAsia="宋体"/>
                <w:b/>
                <w:sz w:val="21"/>
                <w:szCs w:val="21"/>
              </w:rPr>
              <w:t>数量</w:t>
            </w:r>
          </w:p>
        </w:tc>
        <w:tc>
          <w:tcPr>
            <w:tcW w:w="1217" w:type="pct"/>
            <w:vAlign w:val="center"/>
          </w:tcPr>
          <w:p>
            <w:pPr>
              <w:jc w:val="center"/>
            </w:pPr>
            <w:r>
              <w:rPr>
                <w:rFonts w:hint="eastAsia" w:ascii="宋体" w:hAnsi="宋体" w:eastAsia="宋体"/>
                <w:b/>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282" w:type="pct"/>
            <w:gridSpan w:val="2"/>
            <w:vAlign w:val="center"/>
          </w:tcPr>
          <w:p>
            <w:pPr>
              <w:jc w:val="center"/>
              <w:rPr>
                <w:rFonts w:hint="eastAsia" w:ascii="宋体" w:hAnsi="宋体" w:eastAsia="宋体"/>
                <w:b/>
                <w:sz w:val="21"/>
                <w:szCs w:val="21"/>
              </w:rPr>
            </w:pPr>
            <w:r>
              <w:rPr>
                <w:rFonts w:hint="eastAsia" w:ascii="宋体" w:hAnsi="宋体" w:eastAsia="宋体"/>
                <w:b/>
                <w:sz w:val="21"/>
                <w:szCs w:val="21"/>
              </w:rPr>
              <w:t>总计</w:t>
            </w:r>
          </w:p>
        </w:tc>
        <w:tc>
          <w:tcPr>
            <w:tcW w:w="607" w:type="pct"/>
            <w:vAlign w:val="center"/>
          </w:tcPr>
          <w:p>
            <w:pPr>
              <w:jc w:val="center"/>
              <w:rPr>
                <w:rFonts w:hint="default" w:eastAsiaTheme="minorEastAsia"/>
                <w:lang w:val="en-US" w:eastAsia="zh-CN"/>
              </w:rPr>
            </w:pPr>
            <w:r>
              <w:rPr>
                <w:rFonts w:hint="eastAsia"/>
                <w:lang w:val="en-US" w:eastAsia="zh-CN"/>
              </w:rPr>
              <w:t>869</w:t>
            </w:r>
          </w:p>
        </w:tc>
        <w:tc>
          <w:tcPr>
            <w:tcW w:w="1251" w:type="pct"/>
            <w:vAlign w:val="center"/>
          </w:tcPr>
          <w:p>
            <w:pPr>
              <w:jc w:val="center"/>
            </w:pPr>
            <w:r>
              <w:rPr>
                <w:rFonts w:hint="eastAsia" w:ascii="宋体" w:hAnsi="宋体" w:eastAsia="宋体"/>
                <w:sz w:val="21"/>
                <w:szCs w:val="21"/>
              </w:rPr>
              <w:t>/</w:t>
            </w:r>
          </w:p>
        </w:tc>
        <w:tc>
          <w:tcPr>
            <w:tcW w:w="641" w:type="pct"/>
            <w:vAlign w:val="center"/>
          </w:tcPr>
          <w:p>
            <w:pPr>
              <w:jc w:val="center"/>
              <w:rPr>
                <w:rFonts w:hint="default" w:eastAsiaTheme="minorEastAsia"/>
                <w:lang w:val="en-US" w:eastAsia="zh-CN"/>
              </w:rPr>
            </w:pPr>
            <w:r>
              <w:rPr>
                <w:rFonts w:hint="eastAsia"/>
                <w:lang w:val="en-US" w:eastAsia="zh-CN"/>
              </w:rPr>
              <w:t>130</w:t>
            </w:r>
          </w:p>
        </w:tc>
        <w:tc>
          <w:tcPr>
            <w:tcW w:w="1217" w:type="pct"/>
            <w:vAlign w:val="center"/>
          </w:tcPr>
          <w:p>
            <w:pPr>
              <w:jc w:val="center"/>
            </w:pPr>
            <w:r>
              <w:rPr>
                <w:rFonts w:hint="eastAsia" w:ascii="宋体" w:hAnsi="宋体" w:eastAsia="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restart"/>
            <w:vAlign w:val="center"/>
          </w:tcPr>
          <w:p>
            <w:pPr>
              <w:jc w:val="center"/>
            </w:pPr>
            <w:r>
              <w:rPr>
                <w:rFonts w:hint="eastAsia" w:ascii="宋体" w:hAnsi="宋体" w:eastAsia="宋体"/>
                <w:b/>
                <w:sz w:val="21"/>
                <w:szCs w:val="21"/>
              </w:rPr>
              <w:t>职称</w:t>
            </w: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正高级</w:t>
            </w:r>
          </w:p>
        </w:tc>
        <w:tc>
          <w:tcPr>
            <w:tcW w:w="607" w:type="pct"/>
            <w:vAlign w:val="center"/>
          </w:tcPr>
          <w:p>
            <w:pPr>
              <w:jc w:val="center"/>
              <w:rPr>
                <w:rFonts w:hint="default" w:eastAsiaTheme="minorEastAsia"/>
                <w:lang w:val="en-US" w:eastAsia="zh-CN"/>
              </w:rPr>
            </w:pPr>
            <w:r>
              <w:rPr>
                <w:rFonts w:hint="eastAsia"/>
                <w:lang w:val="en-US" w:eastAsia="zh-CN"/>
              </w:rPr>
              <w:t>102</w:t>
            </w:r>
          </w:p>
        </w:tc>
        <w:tc>
          <w:tcPr>
            <w:tcW w:w="1251" w:type="pct"/>
            <w:vAlign w:val="center"/>
          </w:tcPr>
          <w:p>
            <w:pPr>
              <w:jc w:val="center"/>
            </w:pPr>
            <w:r>
              <w:rPr>
                <w:rFonts w:hint="eastAsia"/>
                <w:lang w:val="en-US" w:eastAsia="zh-CN"/>
              </w:rPr>
              <w:t>11.74</w:t>
            </w:r>
          </w:p>
        </w:tc>
        <w:tc>
          <w:tcPr>
            <w:tcW w:w="641" w:type="pct"/>
            <w:vAlign w:val="center"/>
          </w:tcPr>
          <w:p>
            <w:pPr>
              <w:jc w:val="center"/>
              <w:rPr>
                <w:rFonts w:hint="default" w:eastAsiaTheme="minorEastAsia"/>
                <w:lang w:val="en-US" w:eastAsia="zh-CN"/>
              </w:rPr>
            </w:pPr>
            <w:r>
              <w:rPr>
                <w:rFonts w:hint="eastAsia"/>
                <w:lang w:val="en-US" w:eastAsia="zh-CN"/>
              </w:rPr>
              <w:t>20</w:t>
            </w:r>
          </w:p>
        </w:tc>
        <w:tc>
          <w:tcPr>
            <w:tcW w:w="1217" w:type="pct"/>
            <w:vAlign w:val="center"/>
          </w:tcPr>
          <w:p>
            <w:pPr>
              <w:jc w:val="center"/>
            </w:pPr>
            <w:r>
              <w:rPr>
                <w:rFonts w:hint="eastAsia"/>
                <w:lang w:val="en-US" w:eastAsia="zh-CN"/>
              </w:rPr>
              <w:t>15.38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其中教授</w:t>
            </w:r>
          </w:p>
        </w:tc>
        <w:tc>
          <w:tcPr>
            <w:tcW w:w="607" w:type="pct"/>
            <w:vAlign w:val="center"/>
          </w:tcPr>
          <w:p>
            <w:pPr>
              <w:jc w:val="center"/>
              <w:rPr>
                <w:rFonts w:hint="default" w:eastAsiaTheme="minorEastAsia"/>
                <w:lang w:val="en-US" w:eastAsia="zh-CN"/>
              </w:rPr>
            </w:pPr>
            <w:r>
              <w:rPr>
                <w:rFonts w:hint="eastAsia"/>
                <w:lang w:val="en-US" w:eastAsia="zh-CN"/>
              </w:rPr>
              <w:t>80</w:t>
            </w:r>
          </w:p>
        </w:tc>
        <w:tc>
          <w:tcPr>
            <w:tcW w:w="1251" w:type="pct"/>
            <w:vAlign w:val="center"/>
          </w:tcPr>
          <w:p>
            <w:pPr>
              <w:jc w:val="center"/>
            </w:pPr>
            <w:r>
              <w:rPr>
                <w:rFonts w:hint="eastAsia"/>
                <w:lang w:val="en-US" w:eastAsia="zh-CN"/>
              </w:rPr>
              <w:t>9.21</w:t>
            </w:r>
          </w:p>
        </w:tc>
        <w:tc>
          <w:tcPr>
            <w:tcW w:w="641" w:type="pct"/>
            <w:vAlign w:val="center"/>
          </w:tcPr>
          <w:p>
            <w:pPr>
              <w:jc w:val="center"/>
              <w:rPr>
                <w:rFonts w:hint="default" w:eastAsiaTheme="minorEastAsia"/>
                <w:lang w:val="en-US" w:eastAsia="zh-CN"/>
              </w:rPr>
            </w:pPr>
            <w:r>
              <w:rPr>
                <w:rFonts w:hint="eastAsia"/>
                <w:lang w:val="en-US" w:eastAsia="zh-CN"/>
              </w:rPr>
              <w:t>16</w:t>
            </w:r>
          </w:p>
        </w:tc>
        <w:tc>
          <w:tcPr>
            <w:tcW w:w="1217" w:type="pct"/>
            <w:vAlign w:val="center"/>
          </w:tcPr>
          <w:p>
            <w:pPr>
              <w:jc w:val="center"/>
            </w:pPr>
            <w:r>
              <w:rPr>
                <w:rFonts w:hint="eastAsia"/>
                <w:lang w:val="en-US" w:eastAsia="zh-CN"/>
              </w:rPr>
              <w:t>12.31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副高级</w:t>
            </w:r>
          </w:p>
        </w:tc>
        <w:tc>
          <w:tcPr>
            <w:tcW w:w="607" w:type="pct"/>
            <w:vAlign w:val="center"/>
          </w:tcPr>
          <w:p>
            <w:pPr>
              <w:jc w:val="center"/>
              <w:rPr>
                <w:rFonts w:hint="default" w:eastAsiaTheme="minorEastAsia"/>
                <w:lang w:val="en-US" w:eastAsia="zh-CN"/>
              </w:rPr>
            </w:pPr>
            <w:r>
              <w:rPr>
                <w:rFonts w:hint="eastAsia"/>
                <w:lang w:val="en-US" w:eastAsia="zh-CN"/>
              </w:rPr>
              <w:t>258</w:t>
            </w:r>
          </w:p>
        </w:tc>
        <w:tc>
          <w:tcPr>
            <w:tcW w:w="1251" w:type="pct"/>
            <w:vAlign w:val="center"/>
          </w:tcPr>
          <w:p>
            <w:pPr>
              <w:jc w:val="center"/>
            </w:pPr>
            <w:r>
              <w:rPr>
                <w:rFonts w:hint="eastAsia"/>
                <w:lang w:val="en-US" w:eastAsia="zh-CN"/>
              </w:rPr>
              <w:t>29.69</w:t>
            </w:r>
          </w:p>
        </w:tc>
        <w:tc>
          <w:tcPr>
            <w:tcW w:w="641" w:type="pct"/>
            <w:vAlign w:val="center"/>
          </w:tcPr>
          <w:p>
            <w:pPr>
              <w:jc w:val="center"/>
              <w:rPr>
                <w:rFonts w:hint="default" w:eastAsiaTheme="minorEastAsia"/>
                <w:lang w:val="en-US" w:eastAsia="zh-CN"/>
              </w:rPr>
            </w:pPr>
            <w:r>
              <w:rPr>
                <w:rFonts w:hint="eastAsia"/>
                <w:lang w:val="en-US" w:eastAsia="zh-CN"/>
              </w:rPr>
              <w:t>41</w:t>
            </w:r>
          </w:p>
        </w:tc>
        <w:tc>
          <w:tcPr>
            <w:tcW w:w="1217" w:type="pct"/>
            <w:vAlign w:val="center"/>
          </w:tcPr>
          <w:p>
            <w:pPr>
              <w:jc w:val="center"/>
            </w:pPr>
            <w:r>
              <w:rPr>
                <w:rFonts w:hint="eastAsia"/>
                <w:lang w:val="en-US" w:eastAsia="zh-CN"/>
              </w:rPr>
              <w:t>31.54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其中副教授</w:t>
            </w:r>
          </w:p>
        </w:tc>
        <w:tc>
          <w:tcPr>
            <w:tcW w:w="607" w:type="pct"/>
            <w:vAlign w:val="center"/>
          </w:tcPr>
          <w:p>
            <w:pPr>
              <w:jc w:val="center"/>
              <w:rPr>
                <w:rFonts w:hint="default" w:eastAsiaTheme="minorEastAsia"/>
                <w:lang w:val="en-US" w:eastAsia="zh-CN"/>
              </w:rPr>
            </w:pPr>
            <w:r>
              <w:rPr>
                <w:rFonts w:hint="eastAsia"/>
                <w:lang w:val="en-US" w:eastAsia="zh-CN"/>
              </w:rPr>
              <w:t>197</w:t>
            </w:r>
          </w:p>
        </w:tc>
        <w:tc>
          <w:tcPr>
            <w:tcW w:w="1251" w:type="pct"/>
            <w:vAlign w:val="center"/>
          </w:tcPr>
          <w:p>
            <w:pPr>
              <w:jc w:val="center"/>
            </w:pPr>
            <w:r>
              <w:rPr>
                <w:rFonts w:hint="eastAsia"/>
                <w:lang w:val="en-US" w:eastAsia="zh-CN"/>
              </w:rPr>
              <w:t>22.67</w:t>
            </w:r>
          </w:p>
        </w:tc>
        <w:tc>
          <w:tcPr>
            <w:tcW w:w="641" w:type="pct"/>
            <w:vAlign w:val="center"/>
          </w:tcPr>
          <w:p>
            <w:pPr>
              <w:jc w:val="center"/>
              <w:rPr>
                <w:rFonts w:hint="default" w:eastAsiaTheme="minorEastAsia"/>
                <w:lang w:val="en-US" w:eastAsia="zh-CN"/>
              </w:rPr>
            </w:pPr>
            <w:r>
              <w:rPr>
                <w:rFonts w:hint="eastAsia"/>
                <w:lang w:val="en-US" w:eastAsia="zh-CN"/>
              </w:rPr>
              <w:t>6</w:t>
            </w:r>
          </w:p>
        </w:tc>
        <w:tc>
          <w:tcPr>
            <w:tcW w:w="1217" w:type="pct"/>
            <w:vAlign w:val="center"/>
          </w:tcPr>
          <w:p>
            <w:pPr>
              <w:jc w:val="center"/>
            </w:pPr>
            <w:r>
              <w:rPr>
                <w:rFonts w:hint="eastAsia"/>
                <w:lang w:val="en-US" w:eastAsia="zh-CN"/>
              </w:rPr>
              <w:t>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中级</w:t>
            </w:r>
          </w:p>
        </w:tc>
        <w:tc>
          <w:tcPr>
            <w:tcW w:w="607" w:type="pct"/>
            <w:vAlign w:val="center"/>
          </w:tcPr>
          <w:p>
            <w:pPr>
              <w:jc w:val="center"/>
              <w:rPr>
                <w:rFonts w:hint="default" w:eastAsiaTheme="minorEastAsia"/>
                <w:lang w:val="en-US" w:eastAsia="zh-CN"/>
              </w:rPr>
            </w:pPr>
            <w:r>
              <w:rPr>
                <w:rFonts w:hint="eastAsia"/>
                <w:lang w:val="en-US" w:eastAsia="zh-CN"/>
              </w:rPr>
              <w:t>352</w:t>
            </w:r>
          </w:p>
        </w:tc>
        <w:tc>
          <w:tcPr>
            <w:tcW w:w="1251" w:type="pct"/>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40.51</w:t>
            </w:r>
          </w:p>
        </w:tc>
        <w:tc>
          <w:tcPr>
            <w:tcW w:w="641" w:type="pct"/>
            <w:vAlign w:val="center"/>
          </w:tcPr>
          <w:p>
            <w:pPr>
              <w:jc w:val="center"/>
              <w:rPr>
                <w:rFonts w:hint="default" w:eastAsiaTheme="minorEastAsia"/>
                <w:lang w:val="en-US" w:eastAsia="zh-CN"/>
              </w:rPr>
            </w:pPr>
            <w:r>
              <w:rPr>
                <w:rFonts w:hint="eastAsia"/>
                <w:lang w:val="en-US" w:eastAsia="zh-CN"/>
              </w:rPr>
              <w:t>33</w:t>
            </w:r>
          </w:p>
        </w:tc>
        <w:tc>
          <w:tcPr>
            <w:tcW w:w="1217" w:type="pct"/>
            <w:vAlign w:val="center"/>
          </w:tcPr>
          <w:p>
            <w:pPr>
              <w:jc w:val="center"/>
            </w:pPr>
            <w:r>
              <w:rPr>
                <w:rFonts w:hint="eastAsia"/>
                <w:lang w:val="en-US" w:eastAsia="zh-CN"/>
              </w:rPr>
              <w:t>25.38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其中讲师</w:t>
            </w:r>
          </w:p>
        </w:tc>
        <w:tc>
          <w:tcPr>
            <w:tcW w:w="607" w:type="pct"/>
            <w:vAlign w:val="center"/>
          </w:tcPr>
          <w:p>
            <w:pPr>
              <w:jc w:val="center"/>
              <w:rPr>
                <w:rFonts w:hint="default" w:eastAsiaTheme="minorEastAsia"/>
                <w:lang w:val="en-US" w:eastAsia="zh-CN"/>
              </w:rPr>
            </w:pPr>
            <w:r>
              <w:rPr>
                <w:rFonts w:hint="eastAsia"/>
                <w:lang w:val="en-US" w:eastAsia="zh-CN"/>
              </w:rPr>
              <w:t>316</w:t>
            </w:r>
          </w:p>
        </w:tc>
        <w:tc>
          <w:tcPr>
            <w:tcW w:w="1251" w:type="pct"/>
            <w:vAlign w:val="center"/>
          </w:tcPr>
          <w:p>
            <w:pPr>
              <w:jc w:val="center"/>
            </w:pPr>
            <w:r>
              <w:rPr>
                <w:rFonts w:hint="eastAsia"/>
                <w:lang w:val="en-US" w:eastAsia="zh-CN"/>
              </w:rPr>
              <w:t>36.36</w:t>
            </w:r>
          </w:p>
        </w:tc>
        <w:tc>
          <w:tcPr>
            <w:tcW w:w="641" w:type="pct"/>
            <w:vAlign w:val="center"/>
          </w:tcPr>
          <w:p>
            <w:pPr>
              <w:jc w:val="center"/>
              <w:rPr>
                <w:rFonts w:hint="default" w:eastAsiaTheme="minorEastAsia"/>
                <w:lang w:val="en-US" w:eastAsia="zh-CN"/>
              </w:rPr>
            </w:pPr>
            <w:r>
              <w:rPr>
                <w:rFonts w:hint="eastAsia"/>
                <w:lang w:val="en-US" w:eastAsia="zh-CN"/>
              </w:rPr>
              <w:t>3</w:t>
            </w:r>
          </w:p>
        </w:tc>
        <w:tc>
          <w:tcPr>
            <w:tcW w:w="1217" w:type="pct"/>
            <w:vAlign w:val="center"/>
          </w:tcPr>
          <w:p>
            <w:pPr>
              <w:jc w:val="center"/>
            </w:pPr>
            <w:r>
              <w:rPr>
                <w:rFonts w:hint="eastAsia"/>
                <w:lang w:val="en-US" w:eastAsia="zh-CN"/>
              </w:rPr>
              <w:t>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初级</w:t>
            </w:r>
          </w:p>
        </w:tc>
        <w:tc>
          <w:tcPr>
            <w:tcW w:w="607" w:type="pct"/>
            <w:vAlign w:val="center"/>
          </w:tcPr>
          <w:p>
            <w:pPr>
              <w:jc w:val="center"/>
              <w:rPr>
                <w:rFonts w:hint="default" w:eastAsiaTheme="minorEastAsia"/>
                <w:lang w:val="en-US" w:eastAsia="zh-CN"/>
              </w:rPr>
            </w:pPr>
            <w:r>
              <w:rPr>
                <w:rFonts w:hint="eastAsia"/>
                <w:lang w:val="en-US" w:eastAsia="zh-CN"/>
              </w:rPr>
              <w:t>69</w:t>
            </w:r>
          </w:p>
        </w:tc>
        <w:tc>
          <w:tcPr>
            <w:tcW w:w="1251" w:type="pct"/>
            <w:vAlign w:val="center"/>
          </w:tcPr>
          <w:p>
            <w:pPr>
              <w:jc w:val="center"/>
            </w:pPr>
            <w:r>
              <w:rPr>
                <w:rFonts w:hint="eastAsia"/>
                <w:lang w:val="en-US" w:eastAsia="zh-CN"/>
              </w:rPr>
              <w:t>7.94</w:t>
            </w:r>
          </w:p>
        </w:tc>
        <w:tc>
          <w:tcPr>
            <w:tcW w:w="641" w:type="pct"/>
            <w:vAlign w:val="center"/>
          </w:tcPr>
          <w:p>
            <w:pPr>
              <w:jc w:val="center"/>
              <w:rPr>
                <w:rFonts w:hint="default" w:eastAsiaTheme="minorEastAsia"/>
                <w:lang w:val="en-US" w:eastAsia="zh-CN"/>
              </w:rPr>
            </w:pPr>
            <w:r>
              <w:rPr>
                <w:rFonts w:hint="eastAsia"/>
                <w:lang w:val="en-US" w:eastAsia="zh-CN"/>
              </w:rPr>
              <w:t>1</w:t>
            </w:r>
          </w:p>
        </w:tc>
        <w:tc>
          <w:tcPr>
            <w:tcW w:w="1217" w:type="pct"/>
            <w:vAlign w:val="center"/>
          </w:tcPr>
          <w:p>
            <w:pPr>
              <w:jc w:val="center"/>
            </w:pPr>
            <w:r>
              <w:rPr>
                <w:rFonts w:hint="eastAsia"/>
                <w:lang w:val="en-US" w:eastAsia="zh-CN"/>
              </w:rPr>
              <w:t>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其中助教</w:t>
            </w:r>
          </w:p>
        </w:tc>
        <w:tc>
          <w:tcPr>
            <w:tcW w:w="607" w:type="pct"/>
            <w:vAlign w:val="center"/>
          </w:tcPr>
          <w:p>
            <w:pPr>
              <w:jc w:val="center"/>
              <w:rPr>
                <w:rFonts w:hint="default" w:eastAsiaTheme="minorEastAsia"/>
                <w:lang w:val="en-US" w:eastAsia="zh-CN"/>
              </w:rPr>
            </w:pPr>
            <w:r>
              <w:rPr>
                <w:rFonts w:hint="eastAsia"/>
                <w:lang w:val="en-US" w:eastAsia="zh-CN"/>
              </w:rPr>
              <w:t>65</w:t>
            </w:r>
          </w:p>
        </w:tc>
        <w:tc>
          <w:tcPr>
            <w:tcW w:w="1251" w:type="pct"/>
            <w:vAlign w:val="center"/>
          </w:tcPr>
          <w:p>
            <w:pPr>
              <w:jc w:val="center"/>
            </w:pPr>
            <w:r>
              <w:rPr>
                <w:rFonts w:hint="eastAsia"/>
                <w:lang w:val="en-US" w:eastAsia="zh-CN"/>
              </w:rPr>
              <w:t>7.48</w:t>
            </w:r>
          </w:p>
        </w:tc>
        <w:tc>
          <w:tcPr>
            <w:tcW w:w="641" w:type="pct"/>
            <w:vAlign w:val="center"/>
          </w:tcPr>
          <w:p>
            <w:pPr>
              <w:jc w:val="center"/>
              <w:rPr>
                <w:rFonts w:hint="default" w:eastAsiaTheme="minorEastAsia"/>
                <w:lang w:val="en-US" w:eastAsia="zh-CN"/>
              </w:rPr>
            </w:pPr>
            <w:r>
              <w:rPr>
                <w:rFonts w:hint="eastAsia"/>
                <w:lang w:val="en-US" w:eastAsia="zh-CN"/>
              </w:rPr>
              <w:t>0</w:t>
            </w:r>
          </w:p>
        </w:tc>
        <w:tc>
          <w:tcPr>
            <w:tcW w:w="1217" w:type="pct"/>
            <w:vAlign w:val="center"/>
          </w:tcPr>
          <w:p>
            <w:pPr>
              <w:jc w:val="center"/>
            </w:pPr>
            <w:r>
              <w:rPr>
                <w:rFonts w:hint="eastAsia"/>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未评级</w:t>
            </w:r>
          </w:p>
        </w:tc>
        <w:tc>
          <w:tcPr>
            <w:tcW w:w="607" w:type="pct"/>
            <w:vAlign w:val="center"/>
          </w:tcPr>
          <w:p>
            <w:pPr>
              <w:jc w:val="center"/>
              <w:rPr>
                <w:rFonts w:hint="default" w:eastAsiaTheme="minorEastAsia"/>
                <w:lang w:val="en-US" w:eastAsia="zh-CN"/>
              </w:rPr>
            </w:pPr>
            <w:r>
              <w:rPr>
                <w:rFonts w:hint="eastAsia"/>
                <w:lang w:val="en-US" w:eastAsia="zh-CN"/>
              </w:rPr>
              <w:t>88</w:t>
            </w:r>
          </w:p>
        </w:tc>
        <w:tc>
          <w:tcPr>
            <w:tcW w:w="1251" w:type="pct"/>
            <w:vAlign w:val="center"/>
          </w:tcPr>
          <w:p>
            <w:pPr>
              <w:jc w:val="center"/>
            </w:pPr>
            <w:r>
              <w:rPr>
                <w:rFonts w:hint="eastAsia"/>
                <w:lang w:val="en-US" w:eastAsia="zh-CN"/>
              </w:rPr>
              <w:t>10.13</w:t>
            </w:r>
          </w:p>
        </w:tc>
        <w:tc>
          <w:tcPr>
            <w:tcW w:w="641" w:type="pct"/>
            <w:vAlign w:val="center"/>
          </w:tcPr>
          <w:p>
            <w:pPr>
              <w:jc w:val="center"/>
              <w:rPr>
                <w:rFonts w:hint="default" w:eastAsiaTheme="minorEastAsia"/>
                <w:lang w:val="en-US" w:eastAsia="zh-CN"/>
              </w:rPr>
            </w:pPr>
            <w:r>
              <w:rPr>
                <w:rFonts w:hint="eastAsia"/>
                <w:lang w:val="en-US" w:eastAsia="zh-CN"/>
              </w:rPr>
              <w:t>35</w:t>
            </w:r>
          </w:p>
        </w:tc>
        <w:tc>
          <w:tcPr>
            <w:tcW w:w="1217" w:type="pct"/>
            <w:vAlign w:val="center"/>
          </w:tcPr>
          <w:p>
            <w:pPr>
              <w:jc w:val="center"/>
            </w:pPr>
            <w:r>
              <w:rPr>
                <w:rFonts w:hint="eastAsia"/>
                <w:lang w:val="en-US" w:eastAsia="zh-CN"/>
              </w:rPr>
              <w:t>26.92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restart"/>
            <w:vAlign w:val="center"/>
          </w:tcPr>
          <w:p>
            <w:pPr>
              <w:jc w:val="center"/>
            </w:pPr>
            <w:r>
              <w:rPr>
                <w:rFonts w:hint="eastAsia" w:ascii="宋体" w:hAnsi="宋体" w:eastAsia="宋体"/>
                <w:b/>
                <w:sz w:val="21"/>
                <w:szCs w:val="21"/>
              </w:rPr>
              <w:t>最高学位</w:t>
            </w:r>
          </w:p>
        </w:tc>
        <w:tc>
          <w:tcPr>
            <w:vAlign w:val="center"/>
          </w:tcPr>
          <w:p>
            <w:pPr>
              <w:jc w:val="center"/>
            </w:pPr>
            <w:r>
              <w:rPr>
                <w:rFonts w:hint="eastAsia" w:ascii="宋体" w:hAnsi="宋体" w:eastAsia="宋体"/>
                <w:b/>
                <w:sz w:val="21"/>
                <w:szCs w:val="21"/>
              </w:rPr>
              <w:t>博士</w:t>
            </w:r>
          </w:p>
        </w:tc>
        <w:tc>
          <w:tcPr>
            <w:tcW w:w="607" w:type="pct"/>
            <w:vAlign w:val="center"/>
          </w:tcPr>
          <w:p>
            <w:pPr>
              <w:jc w:val="center"/>
              <w:rPr>
                <w:rFonts w:hint="default" w:eastAsiaTheme="minorEastAsia"/>
                <w:lang w:val="en-US" w:eastAsia="zh-CN"/>
              </w:rPr>
            </w:pPr>
            <w:r>
              <w:rPr>
                <w:rFonts w:hint="eastAsia"/>
                <w:lang w:val="en-US" w:eastAsia="zh-CN"/>
              </w:rPr>
              <w:t>241</w:t>
            </w:r>
          </w:p>
        </w:tc>
        <w:tc>
          <w:tcPr>
            <w:tcW w:w="1251" w:type="pct"/>
            <w:vAlign w:val="center"/>
          </w:tcPr>
          <w:p>
            <w:pPr>
              <w:jc w:val="center"/>
            </w:pPr>
            <w:r>
              <w:rPr>
                <w:rFonts w:hint="eastAsia"/>
                <w:lang w:val="en-US" w:eastAsia="zh-CN"/>
              </w:rPr>
              <w:t>27.73</w:t>
            </w:r>
          </w:p>
        </w:tc>
        <w:tc>
          <w:tcPr>
            <w:tcW w:w="641" w:type="pct"/>
            <w:vAlign w:val="center"/>
          </w:tcPr>
          <w:p>
            <w:pPr>
              <w:jc w:val="center"/>
            </w:pPr>
            <w:r>
              <w:rPr>
                <w:rFonts w:hint="eastAsia"/>
                <w:lang w:val="en-US" w:eastAsia="zh-CN"/>
              </w:rPr>
              <w:t>10</w:t>
            </w:r>
          </w:p>
        </w:tc>
        <w:tc>
          <w:tcPr>
            <w:tcW w:w="1217" w:type="pct"/>
            <w:vAlign w:val="center"/>
          </w:tcPr>
          <w:p>
            <w:pPr>
              <w:jc w:val="center"/>
            </w:pPr>
            <w:r>
              <w:rPr>
                <w:rFonts w:hint="eastAsia"/>
                <w:lang w:val="en-US" w:eastAsia="zh-CN"/>
              </w:rPr>
              <w:t>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硕士</w:t>
            </w:r>
          </w:p>
        </w:tc>
        <w:tc>
          <w:tcPr>
            <w:tcW w:w="607" w:type="pct"/>
            <w:vAlign w:val="center"/>
          </w:tcPr>
          <w:p>
            <w:pPr>
              <w:jc w:val="center"/>
              <w:rPr>
                <w:rFonts w:hint="default" w:eastAsiaTheme="minorEastAsia"/>
                <w:lang w:val="en-US" w:eastAsia="zh-CN"/>
              </w:rPr>
            </w:pPr>
            <w:r>
              <w:rPr>
                <w:rFonts w:hint="eastAsia"/>
                <w:lang w:val="en-US" w:eastAsia="zh-CN"/>
              </w:rPr>
              <w:t>561</w:t>
            </w:r>
          </w:p>
        </w:tc>
        <w:tc>
          <w:tcPr>
            <w:tcW w:w="1251" w:type="pct"/>
            <w:vAlign w:val="center"/>
          </w:tcPr>
          <w:p>
            <w:pPr>
              <w:jc w:val="center"/>
            </w:pPr>
            <w:r>
              <w:rPr>
                <w:rFonts w:hint="eastAsia"/>
                <w:lang w:val="en-US" w:eastAsia="zh-CN"/>
              </w:rPr>
              <w:t>64.56</w:t>
            </w:r>
          </w:p>
        </w:tc>
        <w:tc>
          <w:tcPr>
            <w:tcW w:w="641" w:type="pct"/>
            <w:vAlign w:val="center"/>
          </w:tcPr>
          <w:p>
            <w:pPr>
              <w:jc w:val="center"/>
            </w:pPr>
            <w:r>
              <w:rPr>
                <w:rFonts w:hint="eastAsia"/>
                <w:lang w:val="en-US" w:eastAsia="zh-CN"/>
              </w:rPr>
              <w:t>44</w:t>
            </w:r>
          </w:p>
        </w:tc>
        <w:tc>
          <w:tcPr>
            <w:tcW w:w="1217" w:type="pct"/>
            <w:vAlign w:val="center"/>
          </w:tcPr>
          <w:p>
            <w:pPr>
              <w:jc w:val="center"/>
            </w:pPr>
            <w:r>
              <w:rPr>
                <w:rFonts w:hint="eastAsia"/>
                <w:lang w:val="en-US" w:eastAsia="zh-CN"/>
              </w:rPr>
              <w:t>33.85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学士</w:t>
            </w:r>
          </w:p>
        </w:tc>
        <w:tc>
          <w:tcPr>
            <w:tcW w:w="607" w:type="pct"/>
            <w:vAlign w:val="center"/>
          </w:tcPr>
          <w:p>
            <w:pPr>
              <w:jc w:val="center"/>
              <w:rPr>
                <w:rFonts w:hint="default" w:eastAsiaTheme="minorEastAsia"/>
                <w:lang w:val="en-US" w:eastAsia="zh-CN"/>
              </w:rPr>
            </w:pPr>
            <w:r>
              <w:rPr>
                <w:rFonts w:hint="eastAsia"/>
                <w:lang w:val="en-US" w:eastAsia="zh-CN"/>
              </w:rPr>
              <w:t>56</w:t>
            </w:r>
          </w:p>
        </w:tc>
        <w:tc>
          <w:tcPr>
            <w:tcW w:w="1251" w:type="pct"/>
            <w:vAlign w:val="center"/>
          </w:tcPr>
          <w:p>
            <w:pPr>
              <w:jc w:val="center"/>
            </w:pPr>
            <w:r>
              <w:rPr>
                <w:rFonts w:hint="eastAsia"/>
                <w:lang w:val="en-US" w:eastAsia="zh-CN"/>
              </w:rPr>
              <w:t>6.44</w:t>
            </w:r>
          </w:p>
        </w:tc>
        <w:tc>
          <w:tcPr>
            <w:tcW w:w="641" w:type="pct"/>
            <w:vAlign w:val="center"/>
          </w:tcPr>
          <w:p>
            <w:pPr>
              <w:jc w:val="center"/>
            </w:pPr>
            <w:r>
              <w:rPr>
                <w:rFonts w:hint="eastAsia"/>
                <w:lang w:val="en-US" w:eastAsia="zh-CN"/>
              </w:rPr>
              <w:t>63</w:t>
            </w:r>
          </w:p>
        </w:tc>
        <w:tc>
          <w:tcPr>
            <w:tcW w:w="1217" w:type="pct"/>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48.46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无学位</w:t>
            </w:r>
          </w:p>
        </w:tc>
        <w:tc>
          <w:tcPr>
            <w:tcW w:w="607" w:type="pct"/>
            <w:vAlign w:val="center"/>
          </w:tcPr>
          <w:p>
            <w:pPr>
              <w:jc w:val="center"/>
              <w:rPr>
                <w:rFonts w:hint="default" w:eastAsiaTheme="minorEastAsia"/>
                <w:lang w:val="en-US" w:eastAsia="zh-CN"/>
              </w:rPr>
            </w:pPr>
            <w:r>
              <w:rPr>
                <w:rFonts w:hint="eastAsia"/>
                <w:lang w:val="en-US" w:eastAsia="zh-CN"/>
              </w:rPr>
              <w:t>11</w:t>
            </w:r>
          </w:p>
        </w:tc>
        <w:tc>
          <w:tcPr>
            <w:tcW w:w="1251" w:type="pct"/>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1.27</w:t>
            </w:r>
          </w:p>
        </w:tc>
        <w:tc>
          <w:tcPr>
            <w:tcW w:w="641" w:type="pct"/>
            <w:vAlign w:val="center"/>
          </w:tcPr>
          <w:p>
            <w:pPr>
              <w:jc w:val="center"/>
            </w:pPr>
            <w:r>
              <w:rPr>
                <w:rFonts w:hint="eastAsia"/>
                <w:lang w:val="en-US" w:eastAsia="zh-CN"/>
              </w:rPr>
              <w:t>13</w:t>
            </w:r>
          </w:p>
        </w:tc>
        <w:tc>
          <w:tcPr>
            <w:tcW w:w="1217" w:type="pct"/>
            <w:vAlign w:val="center"/>
          </w:tcPr>
          <w:p>
            <w:pPr>
              <w:jc w:val="center"/>
            </w:pPr>
            <w:r>
              <w:rPr>
                <w:rFonts w:hint="eastAsia"/>
                <w:lang w:val="en-US" w:eastAsia="zh-CN"/>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restart"/>
            <w:vAlign w:val="center"/>
          </w:tcPr>
          <w:p>
            <w:pPr>
              <w:jc w:val="center"/>
            </w:pPr>
            <w:r>
              <w:rPr>
                <w:rFonts w:hint="eastAsia" w:ascii="宋体" w:hAnsi="宋体" w:eastAsia="宋体"/>
                <w:b/>
                <w:sz w:val="21"/>
                <w:szCs w:val="21"/>
              </w:rPr>
              <w:t>年龄</w:t>
            </w:r>
          </w:p>
        </w:tc>
        <w:tc>
          <w:tcPr>
            <w:vAlign w:val="center"/>
          </w:tcPr>
          <w:p>
            <w:pPr>
              <w:jc w:val="center"/>
            </w:pPr>
            <w:r>
              <w:rPr>
                <w:rFonts w:hint="eastAsia" w:ascii="宋体" w:hAnsi="宋体" w:eastAsia="宋体"/>
                <w:b/>
                <w:sz w:val="21"/>
                <w:szCs w:val="21"/>
              </w:rPr>
              <w:t>35岁及以下</w:t>
            </w:r>
          </w:p>
        </w:tc>
        <w:tc>
          <w:tcPr>
            <w:tcW w:w="607" w:type="pct"/>
            <w:vAlign w:val="center"/>
          </w:tcPr>
          <w:p>
            <w:pPr>
              <w:jc w:val="center"/>
              <w:rPr>
                <w:rFonts w:hint="default" w:eastAsiaTheme="minorEastAsia"/>
                <w:lang w:val="en-US" w:eastAsia="zh-CN"/>
              </w:rPr>
            </w:pPr>
            <w:r>
              <w:rPr>
                <w:rFonts w:hint="eastAsia"/>
                <w:lang w:val="en-US" w:eastAsia="zh-CN"/>
              </w:rPr>
              <w:t>294</w:t>
            </w:r>
          </w:p>
        </w:tc>
        <w:tc>
          <w:tcPr>
            <w:tcW w:w="1251" w:type="pct"/>
            <w:vAlign w:val="center"/>
          </w:tcPr>
          <w:p>
            <w:pPr>
              <w:jc w:val="center"/>
            </w:pPr>
            <w:r>
              <w:rPr>
                <w:rFonts w:hint="eastAsia"/>
                <w:lang w:val="en-US" w:eastAsia="zh-CN"/>
              </w:rPr>
              <w:t>33.83</w:t>
            </w:r>
          </w:p>
        </w:tc>
        <w:tc>
          <w:tcPr>
            <w:tcW w:w="641" w:type="pct"/>
            <w:vAlign w:val="center"/>
          </w:tcPr>
          <w:p>
            <w:pPr>
              <w:jc w:val="center"/>
            </w:pPr>
            <w:r>
              <w:rPr>
                <w:rFonts w:hint="eastAsia"/>
                <w:lang w:val="en-US" w:eastAsia="zh-CN"/>
              </w:rPr>
              <w:t>23</w:t>
            </w:r>
          </w:p>
        </w:tc>
        <w:tc>
          <w:tcPr>
            <w:tcW w:w="1217" w:type="pct"/>
            <w:vAlign w:val="center"/>
          </w:tcPr>
          <w:p>
            <w:pPr>
              <w:jc w:val="center"/>
            </w:pPr>
            <w:r>
              <w:rPr>
                <w:rFonts w:hint="eastAsia"/>
                <w:lang w:val="en-US" w:eastAsia="zh-CN"/>
              </w:rPr>
              <w:t>17.69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36-45岁</w:t>
            </w:r>
          </w:p>
        </w:tc>
        <w:tc>
          <w:tcPr>
            <w:tcW w:w="607" w:type="pct"/>
            <w:vAlign w:val="center"/>
          </w:tcPr>
          <w:p>
            <w:pPr>
              <w:jc w:val="center"/>
              <w:rPr>
                <w:rFonts w:hint="default" w:eastAsiaTheme="minorEastAsia"/>
                <w:lang w:val="en-US" w:eastAsia="zh-CN"/>
              </w:rPr>
            </w:pPr>
            <w:r>
              <w:rPr>
                <w:rFonts w:hint="eastAsia"/>
                <w:lang w:val="en-US" w:eastAsia="zh-CN"/>
              </w:rPr>
              <w:t>376</w:t>
            </w:r>
          </w:p>
        </w:tc>
        <w:tc>
          <w:tcPr>
            <w:tcW w:w="1251" w:type="pct"/>
            <w:vAlign w:val="center"/>
          </w:tcPr>
          <w:p>
            <w:pPr>
              <w:jc w:val="center"/>
            </w:pPr>
            <w:r>
              <w:rPr>
                <w:rFonts w:hint="eastAsia"/>
                <w:lang w:val="en-US" w:eastAsia="zh-CN"/>
              </w:rPr>
              <w:t>43.27</w:t>
            </w:r>
          </w:p>
        </w:tc>
        <w:tc>
          <w:tcPr>
            <w:tcW w:w="641" w:type="pct"/>
            <w:vAlign w:val="center"/>
          </w:tcPr>
          <w:p>
            <w:pPr>
              <w:jc w:val="center"/>
            </w:pPr>
            <w:r>
              <w:rPr>
                <w:rFonts w:hint="eastAsia"/>
                <w:lang w:val="en-US" w:eastAsia="zh-CN"/>
              </w:rPr>
              <w:t>58</w:t>
            </w:r>
          </w:p>
        </w:tc>
        <w:tc>
          <w:tcPr>
            <w:tcW w:w="1217" w:type="pct"/>
            <w:vAlign w:val="center"/>
          </w:tcPr>
          <w:p>
            <w:pPr>
              <w:jc w:val="center"/>
            </w:pPr>
            <w:r>
              <w:rPr>
                <w:rFonts w:hint="eastAsia"/>
                <w:lang w:val="en-US" w:eastAsia="zh-CN"/>
              </w:rPr>
              <w:t>44.62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46-55岁</w:t>
            </w:r>
          </w:p>
        </w:tc>
        <w:tc>
          <w:tcPr>
            <w:tcW w:w="607" w:type="pct"/>
            <w:vAlign w:val="center"/>
          </w:tcPr>
          <w:p>
            <w:pPr>
              <w:jc w:val="center"/>
              <w:rPr>
                <w:rFonts w:hint="default" w:eastAsiaTheme="minorEastAsia"/>
                <w:lang w:val="en-US" w:eastAsia="zh-CN"/>
              </w:rPr>
            </w:pPr>
            <w:r>
              <w:rPr>
                <w:rFonts w:hint="eastAsia"/>
                <w:lang w:val="en-US" w:eastAsia="zh-CN"/>
              </w:rPr>
              <w:t>153</w:t>
            </w:r>
          </w:p>
        </w:tc>
        <w:tc>
          <w:tcPr>
            <w:tcW w:w="1251" w:type="pct"/>
            <w:vAlign w:val="center"/>
          </w:tcPr>
          <w:p>
            <w:pPr>
              <w:jc w:val="center"/>
            </w:pPr>
            <w:r>
              <w:rPr>
                <w:rFonts w:hint="eastAsia"/>
                <w:lang w:val="en-US" w:eastAsia="zh-CN"/>
              </w:rPr>
              <w:t>17.61</w:t>
            </w:r>
          </w:p>
        </w:tc>
        <w:tc>
          <w:tcPr>
            <w:tcW w:w="641" w:type="pct"/>
            <w:vAlign w:val="center"/>
          </w:tcPr>
          <w:p>
            <w:pPr>
              <w:jc w:val="center"/>
            </w:pPr>
            <w:r>
              <w:rPr>
                <w:rFonts w:hint="eastAsia"/>
                <w:lang w:val="en-US" w:eastAsia="zh-CN"/>
              </w:rPr>
              <w:t>31</w:t>
            </w:r>
          </w:p>
        </w:tc>
        <w:tc>
          <w:tcPr>
            <w:tcW w:w="1217" w:type="pct"/>
            <w:vAlign w:val="center"/>
          </w:tcPr>
          <w:p>
            <w:pPr>
              <w:jc w:val="center"/>
            </w:pPr>
            <w:r>
              <w:rPr>
                <w:rFonts w:hint="eastAsia"/>
                <w:lang w:val="en-US" w:eastAsia="zh-CN"/>
              </w:rPr>
              <w:t>23.85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56岁及以上</w:t>
            </w:r>
          </w:p>
        </w:tc>
        <w:tc>
          <w:tcPr>
            <w:tcW w:w="607" w:type="pct"/>
            <w:vAlign w:val="center"/>
          </w:tcPr>
          <w:p>
            <w:pPr>
              <w:jc w:val="center"/>
              <w:rPr>
                <w:rFonts w:hint="default" w:eastAsiaTheme="minorEastAsia"/>
                <w:lang w:val="en-US" w:eastAsia="zh-CN"/>
              </w:rPr>
            </w:pPr>
            <w:r>
              <w:rPr>
                <w:rFonts w:hint="eastAsia"/>
                <w:lang w:val="en-US" w:eastAsia="zh-CN"/>
              </w:rPr>
              <w:t>46</w:t>
            </w:r>
          </w:p>
        </w:tc>
        <w:tc>
          <w:tcPr>
            <w:tcW w:w="1251" w:type="pct"/>
            <w:vAlign w:val="center"/>
          </w:tcPr>
          <w:p>
            <w:pPr>
              <w:jc w:val="center"/>
            </w:pPr>
            <w:r>
              <w:rPr>
                <w:rFonts w:hint="eastAsia"/>
                <w:lang w:val="en-US" w:eastAsia="zh-CN"/>
              </w:rPr>
              <w:t>5.29</w:t>
            </w:r>
          </w:p>
        </w:tc>
        <w:tc>
          <w:tcPr>
            <w:tcW w:w="641" w:type="pct"/>
            <w:vAlign w:val="center"/>
          </w:tcPr>
          <w:p>
            <w:pPr>
              <w:jc w:val="center"/>
            </w:pPr>
            <w:r>
              <w:rPr>
                <w:rFonts w:hint="eastAsia"/>
                <w:lang w:val="en-US" w:eastAsia="zh-CN"/>
              </w:rPr>
              <w:t>18</w:t>
            </w:r>
          </w:p>
        </w:tc>
        <w:tc>
          <w:tcPr>
            <w:tcW w:w="1217" w:type="pct"/>
            <w:vAlign w:val="center"/>
          </w:tcPr>
          <w:p>
            <w:pPr>
              <w:jc w:val="center"/>
            </w:pPr>
            <w:r>
              <w:rPr>
                <w:rFonts w:hint="eastAsia"/>
                <w:lang w:val="en-US" w:eastAsia="zh-CN"/>
              </w:rPr>
              <w:t>13.85</w:t>
            </w:r>
          </w:p>
        </w:tc>
      </w:tr>
    </w:tbl>
    <w:p>
      <w:pPr>
        <w:jc w:val="left"/>
      </w:pPr>
    </w:p>
    <w:p>
      <w:pPr>
        <w:jc w:val="left"/>
        <w:rPr>
          <w:rFonts w:hint="eastAsia" w:ascii="宋体" w:hAnsi="宋体" w:eastAsia="宋体" w:cs="宋体"/>
          <w:sz w:val="28"/>
          <w:szCs w:val="28"/>
        </w:rPr>
      </w:pPr>
      <w:r>
        <w:tab/>
      </w:r>
      <w:r>
        <w:rPr>
          <w:rFonts w:hint="eastAsia" w:ascii="宋体" w:hAnsi="宋体" w:eastAsia="宋体" w:cs="宋体"/>
          <w:sz w:val="28"/>
          <w:szCs w:val="28"/>
        </w:rPr>
        <w:t>近两学年教师职称、学位、年龄情况见图2、图3、图4。</w:t>
      </w:r>
    </w:p>
    <w:p>
      <w:pPr>
        <w:jc w:val="left"/>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116830" cy="3057525"/>
            <wp:effectExtent l="4445" t="4445" r="2222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宋体" w:hAnsi="宋体" w:eastAsia="宋体"/>
          <w:sz w:val="24"/>
          <w:szCs w:val="24"/>
        </w:rPr>
      </w:pPr>
      <w:r>
        <w:rPr>
          <w:rFonts w:hint="eastAsia" w:ascii="宋体" w:hAnsi="宋体" w:eastAsia="宋体"/>
          <w:sz w:val="24"/>
          <w:szCs w:val="24"/>
        </w:rPr>
        <w:t>图2  近两学年专任教师学位情况（%）
</w:t>
      </w:r>
    </w:p>
    <w:p>
      <w:pPr>
        <w:jc w:val="center"/>
        <w:rPr>
          <w:rFonts w:hint="eastAsia" w:ascii="宋体" w:hAnsi="宋体" w:eastAsia="宋体"/>
          <w:sz w:val="24"/>
          <w:szCs w:val="24"/>
        </w:rPr>
      </w:pPr>
    </w:p>
    <w:p>
      <w:pPr>
        <w:jc w:val="center"/>
      </w:pPr>
      <w:r>
        <w:rPr>
          <w:rFonts w:hint="eastAsia" w:ascii="宋体" w:hAnsi="宋体" w:eastAsia="宋体"/>
          <w:sz w:val="24"/>
          <w:szCs w:val="24"/>
          <w:lang w:eastAsia="zh-CN"/>
        </w:rPr>
        <w:drawing>
          <wp:inline distT="0" distB="0" distL="114300" distR="114300">
            <wp:extent cx="5116830" cy="3057525"/>
            <wp:effectExtent l="4445" t="4445" r="2222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宋体" w:hAnsi="宋体" w:eastAsia="宋体"/>
          <w:sz w:val="24"/>
          <w:szCs w:val="24"/>
        </w:rPr>
      </w:pPr>
      <w:r>
        <w:rPr>
          <w:rFonts w:hint="eastAsia" w:ascii="宋体" w:hAnsi="宋体" w:eastAsia="宋体"/>
          <w:sz w:val="24"/>
          <w:szCs w:val="24"/>
        </w:rPr>
        <w:t>图3   近两学年专任教师职称情况（%）
</w:t>
      </w:r>
    </w:p>
    <w:p>
      <w:pPr>
        <w:jc w:val="center"/>
        <w:rPr>
          <w:rFonts w:hint="eastAsia" w:ascii="宋体" w:hAnsi="宋体" w:eastAsia="宋体"/>
          <w:sz w:val="24"/>
          <w:szCs w:val="24"/>
        </w:rPr>
      </w:pPr>
    </w:p>
    <w:p>
      <w:pPr>
        <w:jc w:val="center"/>
      </w:pPr>
      <w:r>
        <w:rPr>
          <w:rFonts w:hint="eastAsia" w:ascii="宋体" w:hAnsi="宋体" w:eastAsia="宋体"/>
          <w:sz w:val="24"/>
          <w:szCs w:val="24"/>
          <w:lang w:eastAsia="zh-CN"/>
        </w:rPr>
        <w:drawing>
          <wp:inline distT="0" distB="0" distL="114300" distR="114300">
            <wp:extent cx="5116830" cy="3057525"/>
            <wp:effectExtent l="4445" t="4445" r="2222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pPr>
      <w:r>
        <w:rPr>
          <w:rFonts w:hint="eastAsia" w:ascii="宋体" w:hAnsi="宋体" w:eastAsia="宋体"/>
          <w:sz w:val="24"/>
          <w:szCs w:val="24"/>
        </w:rPr>
        <w:t>图4  近两学年专任教师年龄结构（%）
</w:t>
      </w:r>
    </w:p>
    <w:p>
      <w:pPr>
        <w:jc w:val="left"/>
      </w:pPr>
    </w:p>
    <w:p>
      <w:pPr>
        <w:pStyle w:val="5"/>
        <w:jc w:val="left"/>
      </w:pPr>
      <w:bookmarkStart w:id="14" w:name="_Toc27679"/>
      <w:bookmarkStart w:id="15" w:name="_Toc12712"/>
      <w:r>
        <w:rPr>
          <w:rFonts w:hint="eastAsia" w:ascii="黑体" w:hAnsi="黑体" w:eastAsia="黑体"/>
          <w:sz w:val="28"/>
          <w:szCs w:val="28"/>
        </w:rPr>
        <w:t>（二）本科主讲教师情况</w:t>
      </w:r>
      <w:bookmarkEnd w:id="14"/>
      <w:bookmarkEnd w:id="15"/>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本学年高级职称教师承担的课程门数为958，占总课程门数的46.10%；课程门次数为2226，占开课总门次的42.66%。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正高级职称教师承担的课程门数为308，占总课程门数的14.82%；课程门次数为562，占开课总门次的10.77%。其中教授职称教师承担的课程门数为260，占总课程门数的12.51%；课程门次数为488，占开课总门次的9.35%。</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副高级职称教师承担的课程门数为751，占总课程门数的36.14%；课程门次数为1764，占开课总门次的33.81%。其中副教授职称教师承担的课程门数为625，占总课程门数的30.08%；课程门次数为1512，占开课总门次的28.98%。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承担本科教学的具有教授职称的教师有85人，以我校具有教授职称教师106人计，主讲本科课程的教授比例为80.19%。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本学年主讲本科专业核心课程的教授42人，占授课教授总人数比例的44.68%。高级职称教师承担的本科专业核心课程295门，占所开设本科专业核心课程的比例为14.20%。</w:t>
      </w:r>
    </w:p>
    <w:p>
      <w:pPr>
        <w:jc w:val="left"/>
      </w:pPr>
      <w:r>
        <w:tab/>
      </w:r>
    </w:p>
    <w:p>
      <w:pPr>
        <w:jc w:val="left"/>
      </w:pPr>
    </w:p>
    <w:p>
      <w:pPr>
        <w:jc w:val="left"/>
      </w:pPr>
      <w:r>
        <w:rPr>
          <w:rFonts w:hint="eastAsia" w:ascii="宋体" w:hAnsi="宋体" w:eastAsia="宋体"/>
          <w:sz w:val="24"/>
          <w:szCs w:val="24"/>
          <w:lang w:eastAsia="zh-CN"/>
        </w:rPr>
        <w:drawing>
          <wp:inline distT="0" distB="0" distL="114300" distR="114300">
            <wp:extent cx="5116830" cy="3057525"/>
            <wp:effectExtent l="4445" t="4445" r="2222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pPr>
      <w:r>
        <w:rPr>
          <w:rFonts w:hint="eastAsia" w:ascii="宋体" w:hAnsi="宋体" w:eastAsia="宋体"/>
          <w:sz w:val="24"/>
          <w:szCs w:val="24"/>
        </w:rPr>
        <w:t>图5 各职称类别教师承担课程门数占比（%）
</w:t>
      </w:r>
    </w:p>
    <w:p>
      <w:pPr>
        <w:jc w:val="left"/>
      </w:pPr>
    </w:p>
    <w:p>
      <w:pPr>
        <w:jc w:val="left"/>
      </w:pPr>
      <w:r>
        <w:rPr>
          <w:rFonts w:hint="eastAsia" w:ascii="宋体" w:hAnsi="宋体" w:eastAsia="宋体"/>
          <w:sz w:val="24"/>
          <w:szCs w:val="24"/>
          <w:lang w:eastAsia="zh-CN"/>
        </w:rPr>
        <w:drawing>
          <wp:inline distT="0" distB="0" distL="114300" distR="114300">
            <wp:extent cx="5116830" cy="3057525"/>
            <wp:effectExtent l="4445" t="4445" r="14605" b="165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pPr>
      <w:r>
        <w:rPr>
          <w:rFonts w:hint="eastAsia" w:ascii="宋体" w:hAnsi="宋体" w:eastAsia="宋体"/>
          <w:sz w:val="24"/>
          <w:szCs w:val="24"/>
        </w:rPr>
        <w:t>图6  近两学年教授为本科生上课情况（%）
</w:t>
      </w:r>
    </w:p>
    <w:p>
      <w:pPr>
        <w:jc w:val="left"/>
      </w:pPr>
    </w:p>
    <w:p>
      <w:pPr>
        <w:jc w:val="left"/>
      </w:pPr>
      <w:r>
        <w:tab/>
      </w:r>
    </w:p>
    <w:p>
      <w:pPr>
        <w:jc w:val="left"/>
      </w:pPr>
    </w:p>
    <w:p>
      <w:pPr>
        <w:jc w:val="left"/>
      </w:pPr>
    </w:p>
    <w:p>
      <w:pPr>
        <w:pStyle w:val="5"/>
        <w:jc w:val="left"/>
      </w:pPr>
      <w:bookmarkStart w:id="16" w:name="_Toc21166"/>
      <w:bookmarkStart w:id="17" w:name="_Toc28593"/>
      <w:r>
        <w:rPr>
          <w:rFonts w:hint="eastAsia" w:ascii="黑体" w:hAnsi="黑体" w:eastAsia="黑体"/>
          <w:sz w:val="28"/>
          <w:szCs w:val="28"/>
        </w:rPr>
        <w:t>（三）教学经费投入情况</w:t>
      </w:r>
      <w:bookmarkEnd w:id="16"/>
      <w:bookmarkEnd w:id="17"/>
    </w:p>
    <w:p>
      <w:pPr>
        <w:jc w:val="left"/>
        <w:rPr>
          <w:rFonts w:hint="eastAsia" w:ascii="宋体" w:hAnsi="宋体" w:eastAsia="宋体" w:cs="宋体"/>
          <w:sz w:val="28"/>
          <w:szCs w:val="28"/>
          <w:lang w:val="en-US" w:eastAsia="zh-CN"/>
        </w:rPr>
      </w:pPr>
      <w:r>
        <w:tab/>
      </w:r>
      <w:r>
        <w:rPr>
          <w:rFonts w:hint="eastAsia" w:ascii="宋体" w:hAnsi="宋体" w:eastAsia="宋体" w:cs="宋体"/>
          <w:sz w:val="28"/>
          <w:szCs w:val="28"/>
          <w:lang w:val="en-US" w:eastAsia="zh-CN"/>
        </w:rPr>
        <w:t>2019年教学日常运行支出为3694.11万元，本科实验经费支出为901.81万元，本科实习经费支出为521.01万元。生均教学日常运行支出为2364.99元，生均本科实验经费为577.34元，生均实习经费为333.55元。近两年生均教学日常运行支出、生均实验经费、生均实习经费详见图7。</w:t>
      </w:r>
    </w:p>
    <w:p>
      <w:pPr>
        <w:jc w:val="left"/>
      </w:pPr>
      <w:r>
        <w:tab/>
      </w:r>
      <w:r>
        <w:rPr>
          <w:rFonts w:hint="eastAsia" w:ascii="黑体" w:hAnsi="黑体" w:eastAsia="黑体"/>
          <w:sz w:val="24"/>
          <w:szCs w:val="24"/>
          <w:lang w:eastAsia="zh-CN"/>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pPr>
      <w:r>
        <w:rPr>
          <w:rFonts w:hint="eastAsia" w:ascii="宋体" w:hAnsi="宋体" w:eastAsia="宋体"/>
          <w:sz w:val="24"/>
          <w:szCs w:val="24"/>
        </w:rPr>
        <w:t>图7  近两年生均教学日常运行支出、生均实验经费、生均实习经费（元）
</w:t>
      </w:r>
    </w:p>
    <w:p>
      <w:pPr>
        <w:jc w:val="left"/>
      </w:pPr>
    </w:p>
    <w:p>
      <w:pPr>
        <w:pStyle w:val="5"/>
        <w:jc w:val="left"/>
      </w:pPr>
      <w:bookmarkStart w:id="18" w:name="_Toc25180"/>
      <w:bookmarkStart w:id="19" w:name="_Toc19645"/>
      <w:r>
        <w:rPr>
          <w:rFonts w:hint="eastAsia" w:ascii="黑体" w:hAnsi="黑体" w:eastAsia="黑体"/>
          <w:sz w:val="28"/>
          <w:szCs w:val="28"/>
        </w:rPr>
        <w:t>（四）教学设施应用情况</w:t>
      </w:r>
      <w:bookmarkEnd w:id="18"/>
      <w:bookmarkEnd w:id="19"/>
    </w:p>
    <w:p>
      <w:pPr>
        <w:pStyle w:val="6"/>
        <w:jc w:val="left"/>
      </w:pPr>
      <w:bookmarkStart w:id="20" w:name="_Toc12118"/>
      <w:r>
        <w:rPr>
          <w:rFonts w:hint="eastAsia" w:ascii="黑体" w:hAnsi="黑体" w:eastAsia="黑体"/>
          <w:sz w:val="28"/>
          <w:szCs w:val="28"/>
        </w:rPr>
        <w:t>1.教学用房</w:t>
      </w:r>
      <w:bookmarkEnd w:id="20"/>
    </w:p>
    <w:p>
      <w:pPr>
        <w:jc w:val="left"/>
        <w:rPr>
          <w:rFonts w:hint="eastAsia" w:ascii="宋体" w:hAnsi="宋体" w:eastAsia="宋体" w:cs="宋体"/>
          <w:sz w:val="28"/>
          <w:szCs w:val="28"/>
          <w:lang w:val="en-US" w:eastAsia="zh-CN"/>
        </w:rPr>
      </w:pPr>
      <w:r>
        <w:tab/>
      </w:r>
      <w:r>
        <w:rPr>
          <w:rFonts w:hint="eastAsia" w:ascii="宋体" w:hAnsi="宋体" w:eastAsia="宋体" w:cs="宋体"/>
          <w:sz w:val="28"/>
          <w:szCs w:val="28"/>
          <w:lang w:val="en-US" w:eastAsia="zh-CN"/>
        </w:rPr>
        <w:t>根据2020年统计，学校总占地面积71.96万</w:t>
      </w:r>
      <w:r>
        <w:rPr>
          <w:rFonts w:hint="eastAsia" w:ascii="宋体" w:hAnsi="宋体" w:eastAsia="宋体" w:cs="宋体"/>
          <w:sz w:val="28"/>
          <w:szCs w:val="28"/>
        </w:rPr>
        <w:t>㎡</w:t>
      </w:r>
      <w:r>
        <w:rPr>
          <w:rFonts w:hint="eastAsia" w:ascii="宋体" w:hAnsi="宋体" w:eastAsia="宋体" w:cs="宋体"/>
          <w:sz w:val="28"/>
          <w:szCs w:val="28"/>
          <w:lang w:val="en-US" w:eastAsia="zh-CN"/>
        </w:rPr>
        <w:t>，产权占地面积为71.96万</w:t>
      </w:r>
      <w:r>
        <w:rPr>
          <w:rFonts w:hint="eastAsia" w:ascii="宋体" w:hAnsi="宋体" w:eastAsia="宋体" w:cs="宋体"/>
          <w:sz w:val="28"/>
          <w:szCs w:val="28"/>
        </w:rPr>
        <w:t>㎡</w:t>
      </w:r>
      <w:r>
        <w:rPr>
          <w:rFonts w:hint="eastAsia" w:ascii="宋体" w:hAnsi="宋体" w:eastAsia="宋体" w:cs="宋体"/>
          <w:sz w:val="28"/>
          <w:szCs w:val="28"/>
          <w:lang w:val="en-US" w:eastAsia="zh-CN"/>
        </w:rPr>
        <w:t>，学校总建筑面积为51.39万</w:t>
      </w:r>
      <w:r>
        <w:rPr>
          <w:rFonts w:hint="eastAsia" w:ascii="宋体" w:hAnsi="宋体" w:eastAsia="宋体" w:cs="宋体"/>
          <w:sz w:val="28"/>
          <w:szCs w:val="28"/>
        </w:rPr>
        <w:t>㎡</w:t>
      </w:r>
      <w:r>
        <w:rPr>
          <w:rFonts w:hint="eastAsia" w:ascii="宋体" w:hAnsi="宋体" w:eastAsia="宋体" w:cs="宋体"/>
          <w:sz w:val="28"/>
          <w:szCs w:val="28"/>
          <w:lang w:val="en-US" w:eastAsia="zh-CN"/>
        </w:rPr>
        <w:t>。</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学校现有教学行政用房面积（教学科研及辅助用房+行政办公用房）共212306.75</w:t>
      </w:r>
      <w:r>
        <w:rPr>
          <w:rFonts w:hint="eastAsia" w:ascii="宋体" w:hAnsi="宋体" w:eastAsia="宋体" w:cs="宋体"/>
          <w:sz w:val="28"/>
          <w:szCs w:val="28"/>
        </w:rPr>
        <w:t>㎡</w:t>
      </w:r>
      <w:r>
        <w:rPr>
          <w:rFonts w:hint="eastAsia" w:ascii="宋体" w:hAnsi="宋体" w:eastAsia="宋体" w:cs="宋体"/>
          <w:sz w:val="28"/>
          <w:szCs w:val="28"/>
          <w:lang w:val="en-US" w:eastAsia="zh-CN"/>
        </w:rPr>
        <w:t>，其中教室面积22728.85</w:t>
      </w:r>
      <w:r>
        <w:rPr>
          <w:rFonts w:hint="eastAsia" w:ascii="宋体" w:hAnsi="宋体" w:eastAsia="宋体" w:cs="宋体"/>
          <w:sz w:val="28"/>
          <w:szCs w:val="28"/>
        </w:rPr>
        <w:t>㎡</w:t>
      </w:r>
      <w:r>
        <w:rPr>
          <w:rFonts w:hint="eastAsia" w:ascii="宋体" w:hAnsi="宋体" w:eastAsia="宋体" w:cs="宋体"/>
          <w:sz w:val="28"/>
          <w:szCs w:val="28"/>
          <w:lang w:val="en-US" w:eastAsia="zh-CN"/>
        </w:rPr>
        <w:t>（含智慧教室面积78.48</w:t>
      </w:r>
      <w:r>
        <w:rPr>
          <w:rFonts w:hint="eastAsia" w:ascii="宋体" w:hAnsi="宋体" w:eastAsia="宋体" w:cs="宋体"/>
          <w:sz w:val="28"/>
          <w:szCs w:val="28"/>
        </w:rPr>
        <w:t>㎡</w:t>
      </w:r>
      <w:r>
        <w:rPr>
          <w:rFonts w:hint="eastAsia" w:ascii="宋体" w:hAnsi="宋体" w:eastAsia="宋体" w:cs="宋体"/>
          <w:sz w:val="28"/>
          <w:szCs w:val="28"/>
          <w:lang w:val="en-US" w:eastAsia="zh-CN"/>
        </w:rPr>
        <w:t>），实验室及实习场所面积48126.46</w:t>
      </w:r>
      <w:r>
        <w:rPr>
          <w:rFonts w:hint="eastAsia" w:ascii="宋体" w:hAnsi="宋体" w:eastAsia="宋体" w:cs="宋体"/>
          <w:sz w:val="28"/>
          <w:szCs w:val="28"/>
        </w:rPr>
        <w:t>㎡</w:t>
      </w:r>
      <w:r>
        <w:rPr>
          <w:rFonts w:hint="eastAsia" w:ascii="宋体" w:hAnsi="宋体" w:eastAsia="宋体" w:cs="宋体"/>
          <w:sz w:val="28"/>
          <w:szCs w:val="28"/>
          <w:lang w:val="en-US" w:eastAsia="zh-CN"/>
        </w:rPr>
        <w:t>。拥有体育馆面积19440.0</w:t>
      </w:r>
      <w:r>
        <w:rPr>
          <w:rFonts w:hint="eastAsia" w:ascii="宋体" w:hAnsi="宋体" w:eastAsia="宋体" w:cs="宋体"/>
          <w:sz w:val="28"/>
          <w:szCs w:val="28"/>
        </w:rPr>
        <w:t>㎡</w:t>
      </w:r>
      <w:r>
        <w:rPr>
          <w:rFonts w:hint="eastAsia" w:ascii="宋体" w:hAnsi="宋体" w:eastAsia="宋体" w:cs="宋体"/>
          <w:sz w:val="28"/>
          <w:szCs w:val="28"/>
          <w:lang w:val="en-US" w:eastAsia="zh-CN"/>
        </w:rPr>
        <w:t>。拥有运动场面积35680.76</w:t>
      </w:r>
      <w:r>
        <w:rPr>
          <w:rFonts w:hint="eastAsia" w:ascii="宋体" w:hAnsi="宋体" w:eastAsia="宋体" w:cs="宋体"/>
          <w:sz w:val="28"/>
          <w:szCs w:val="28"/>
        </w:rPr>
        <w:t>㎡</w:t>
      </w:r>
      <w:r>
        <w:rPr>
          <w:rFonts w:hint="eastAsia" w:ascii="宋体" w:hAnsi="宋体" w:eastAsia="宋体" w:cs="宋体"/>
          <w:sz w:val="28"/>
          <w:szCs w:val="28"/>
          <w:lang w:val="en-US" w:eastAsia="zh-CN"/>
        </w:rPr>
        <w:t>。</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按全日制在校生15815人算，生均学校占地面积为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45.50
（</w:t>
      </w:r>
      <w:r>
        <w:rPr>
          <w:rFonts w:hint="eastAsia" w:ascii="宋体" w:hAnsi="宋体" w:eastAsia="宋体" w:cs="宋体"/>
          <w:sz w:val="28"/>
          <w:szCs w:val="28"/>
        </w:rPr>
        <w:t>㎡</w:t>
      </w:r>
      <w:r>
        <w:rPr>
          <w:rFonts w:hint="eastAsia" w:ascii="宋体" w:hAnsi="宋体" w:eastAsia="宋体" w:cs="宋体"/>
          <w:sz w:val="28"/>
          <w:szCs w:val="28"/>
          <w:lang w:val="en-US" w:eastAsia="zh-CN"/>
        </w:rPr>
        <w:t>/生），生均建筑面积为32.49（</w:t>
      </w:r>
      <w:r>
        <w:rPr>
          <w:rFonts w:hint="eastAsia" w:ascii="宋体" w:hAnsi="宋体" w:eastAsia="宋体" w:cs="宋体"/>
          <w:sz w:val="28"/>
          <w:szCs w:val="28"/>
        </w:rPr>
        <w:t>㎡</w:t>
      </w:r>
      <w:r>
        <w:rPr>
          <w:rFonts w:hint="eastAsia" w:ascii="宋体" w:hAnsi="宋体" w:eastAsia="宋体" w:cs="宋体"/>
          <w:sz w:val="28"/>
          <w:szCs w:val="28"/>
          <w:lang w:val="en-US" w:eastAsia="zh-CN"/>
        </w:rPr>
        <w:t>/生），生均教学行政用房面积为13.42（</w:t>
      </w:r>
      <w:r>
        <w:rPr>
          <w:rFonts w:hint="eastAsia" w:ascii="宋体" w:hAnsi="宋体" w:eastAsia="宋体" w:cs="宋体"/>
          <w:sz w:val="28"/>
          <w:szCs w:val="28"/>
        </w:rPr>
        <w:t>㎡</w:t>
      </w:r>
      <w:r>
        <w:rPr>
          <w:rFonts w:hint="eastAsia" w:ascii="宋体" w:hAnsi="宋体" w:eastAsia="宋体" w:cs="宋体"/>
          <w:sz w:val="28"/>
          <w:szCs w:val="28"/>
          <w:lang w:val="en-US" w:eastAsia="zh-CN"/>
        </w:rPr>
        <w:t>/生），生均实验、实习场所面积3.04（</w:t>
      </w:r>
      <w:r>
        <w:rPr>
          <w:rFonts w:hint="eastAsia" w:ascii="宋体" w:hAnsi="宋体" w:eastAsia="宋体" w:cs="宋体"/>
          <w:sz w:val="28"/>
          <w:szCs w:val="28"/>
        </w:rPr>
        <w:t>㎡</w:t>
      </w:r>
      <w:r>
        <w:rPr>
          <w:rFonts w:hint="eastAsia" w:ascii="宋体" w:hAnsi="宋体" w:eastAsia="宋体" w:cs="宋体"/>
          <w:sz w:val="28"/>
          <w:szCs w:val="28"/>
          <w:lang w:val="en-US" w:eastAsia="zh-CN"/>
        </w:rPr>
        <w:t>/生），生均体育馆面积1.23（</w:t>
      </w:r>
      <w:r>
        <w:rPr>
          <w:rFonts w:hint="eastAsia" w:ascii="宋体" w:hAnsi="宋体" w:eastAsia="宋体" w:cs="宋体"/>
          <w:sz w:val="28"/>
          <w:szCs w:val="28"/>
        </w:rPr>
        <w:t>㎡</w:t>
      </w:r>
      <w:r>
        <w:rPr>
          <w:rFonts w:hint="eastAsia" w:ascii="宋体" w:hAnsi="宋体" w:eastAsia="宋体" w:cs="宋体"/>
          <w:sz w:val="28"/>
          <w:szCs w:val="28"/>
          <w:lang w:val="en-US" w:eastAsia="zh-CN"/>
        </w:rPr>
        <w:t>/生），生均运动场面积2.26（</w:t>
      </w:r>
      <w:r>
        <w:rPr>
          <w:rFonts w:hint="eastAsia" w:ascii="宋体" w:hAnsi="宋体" w:eastAsia="宋体" w:cs="宋体"/>
          <w:sz w:val="28"/>
          <w:szCs w:val="28"/>
        </w:rPr>
        <w:t>㎡</w:t>
      </w:r>
      <w:r>
        <w:rPr>
          <w:rFonts w:hint="eastAsia" w:ascii="宋体" w:hAnsi="宋体" w:eastAsia="宋体" w:cs="宋体"/>
          <w:sz w:val="28"/>
          <w:szCs w:val="28"/>
          <w:lang w:val="en-US" w:eastAsia="zh-CN"/>
        </w:rPr>
        <w:t>/生）。</w:t>
      </w:r>
    </w:p>
    <w:p>
      <w:pPr>
        <w:jc w:val="center"/>
      </w:pP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表5 各生均面积详细情况
</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38"/>
        <w:gridCol w:w="2645"/>
        <w:gridCol w:w="29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vAlign w:val="center"/>
          </w:tcPr>
          <w:p>
            <w:pPr>
              <w:jc w:val="center"/>
            </w:pPr>
            <w:r>
              <w:rPr>
                <w:rFonts w:hint="eastAsia" w:ascii="宋体" w:hAnsi="宋体" w:eastAsia="宋体"/>
                <w:b/>
                <w:sz w:val="21"/>
                <w:szCs w:val="21"/>
              </w:rPr>
              <w:t>类别</w:t>
            </w:r>
          </w:p>
        </w:tc>
        <w:tc>
          <w:tcPr>
            <w:vAlign w:val="center"/>
          </w:tcPr>
          <w:p>
            <w:pPr>
              <w:jc w:val="center"/>
            </w:pPr>
            <w:r>
              <w:rPr>
                <w:rFonts w:hint="eastAsia" w:ascii="宋体" w:hAnsi="宋体" w:eastAsia="宋体"/>
                <w:b/>
                <w:sz w:val="21"/>
                <w:szCs w:val="21"/>
              </w:rPr>
              <w:t>总面积（平方米）</w:t>
            </w:r>
          </w:p>
        </w:tc>
        <w:tc>
          <w:tcPr>
            <w:vAlign w:val="center"/>
          </w:tcPr>
          <w:p>
            <w:pPr>
              <w:jc w:val="center"/>
            </w:pPr>
            <w:r>
              <w:rPr>
                <w:rFonts w:hint="eastAsia" w:ascii="宋体" w:hAnsi="宋体" w:eastAsia="宋体"/>
                <w:b/>
                <w:sz w:val="21"/>
                <w:szCs w:val="21"/>
              </w:rPr>
              <w:t>生均面积（平方米）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占地面积</w:t>
            </w:r>
          </w:p>
        </w:tc>
        <w:tc>
          <w:tcPr>
            <w:vAlign w:val="center"/>
          </w:tcPr>
          <w:p>
            <w:pPr>
              <w:jc w:val="center"/>
              <w:rPr>
                <w:rFonts w:hint="default" w:eastAsiaTheme="minorEastAsia"/>
                <w:i w:val="0"/>
                <w:iCs w:val="0"/>
                <w:u w:val="none"/>
                <w:lang w:val="en-US" w:eastAsia="zh-CN"/>
              </w:rPr>
            </w:pPr>
            <w:r>
              <w:rPr>
                <w:rFonts w:hint="eastAsia" w:ascii="宋体" w:hAnsi="宋体" w:eastAsia="宋体"/>
                <w:i w:val="0"/>
                <w:iCs w:val="0"/>
                <w:sz w:val="24"/>
                <w:szCs w:val="24"/>
                <w:u w:val="none"/>
                <w:lang w:val="en-US" w:eastAsia="zh-CN"/>
              </w:rPr>
              <w:t>719643.99</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45.50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建筑面积</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513850.77</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32.49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教学行政用房面积</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212306.75</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13.42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实验、实习场所面积</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48126.46</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体育馆面积</w:t>
            </w:r>
          </w:p>
        </w:tc>
        <w:tc>
          <w:tcPr>
            <w:vAlign w:val="center"/>
          </w:tcPr>
          <w:p>
            <w:pPr>
              <w:jc w:val="center"/>
              <w:rPr>
                <w:u w:val="none"/>
              </w:rPr>
            </w:pPr>
            <w:r>
              <w:rPr>
                <w:rFonts w:hint="eastAsia" w:ascii="宋体" w:hAnsi="宋体" w:eastAsia="宋体"/>
                <w:sz w:val="24"/>
                <w:szCs w:val="24"/>
                <w:u w:val="none"/>
                <w:lang w:val="en-US" w:eastAsia="zh-CN"/>
              </w:rPr>
              <w:t>19440</w:t>
            </w:r>
          </w:p>
        </w:tc>
        <w:tc>
          <w:tcPr>
            <w:vAlign w:val="center"/>
          </w:tcPr>
          <w:p>
            <w:pPr>
              <w:jc w:val="center"/>
              <w:rPr>
                <w:u w:val="none"/>
              </w:rPr>
            </w:pPr>
            <w:r>
              <w:rPr>
                <w:rFonts w:hint="eastAsia" w:ascii="宋体" w:hAnsi="宋体" w:eastAsia="宋体"/>
                <w:sz w:val="24"/>
                <w:szCs w:val="24"/>
                <w:u w:val="none"/>
                <w:lang w:val="en-US" w:eastAsia="zh-CN"/>
              </w:rPr>
              <w:t>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运动场面积</w:t>
            </w:r>
          </w:p>
        </w:tc>
        <w:tc>
          <w:tcPr>
            <w:vAlign w:val="center"/>
          </w:tcPr>
          <w:p>
            <w:pPr>
              <w:jc w:val="center"/>
              <w:rPr>
                <w:u w:val="none"/>
              </w:rPr>
            </w:pPr>
            <w:r>
              <w:rPr>
                <w:rFonts w:hint="eastAsia" w:ascii="宋体" w:hAnsi="宋体" w:eastAsia="宋体"/>
                <w:sz w:val="24"/>
                <w:szCs w:val="24"/>
                <w:u w:val="none"/>
                <w:lang w:val="en-US" w:eastAsia="zh-CN"/>
              </w:rPr>
              <w:t>35680.76</w:t>
            </w:r>
          </w:p>
        </w:tc>
        <w:tc>
          <w:tcPr>
            <w:vAlign w:val="center"/>
          </w:tcPr>
          <w:p>
            <w:pPr>
              <w:jc w:val="center"/>
              <w:rPr>
                <w:u w:val="none"/>
              </w:rPr>
            </w:pPr>
            <w:r>
              <w:rPr>
                <w:rFonts w:hint="eastAsia" w:ascii="宋体" w:hAnsi="宋体" w:eastAsia="宋体"/>
                <w:sz w:val="24"/>
                <w:szCs w:val="24"/>
                <w:u w:val="none"/>
                <w:lang w:val="en-US" w:eastAsia="zh-CN"/>
              </w:rPr>
              <w:t>2.26</w:t>
            </w:r>
          </w:p>
        </w:tc>
      </w:tr>
    </w:tbl>
    <w:p>
      <w:pPr>
        <w:jc w:val="left"/>
      </w:pPr>
      <w:r>
        <w:tab/>
      </w:r>
    </w:p>
    <w:p>
      <w:pPr>
        <w:pStyle w:val="6"/>
        <w:jc w:val="left"/>
      </w:pPr>
      <w:bookmarkStart w:id="21" w:name="_Toc7361"/>
      <w:r>
        <w:rPr>
          <w:rFonts w:hint="eastAsia" w:ascii="黑体" w:hAnsi="黑体" w:eastAsia="黑体"/>
          <w:sz w:val="28"/>
          <w:szCs w:val="28"/>
        </w:rPr>
        <w:t>2.教学科研仪器设备与教学实验室</w:t>
      </w:r>
      <w:bookmarkEnd w:id="21"/>
    </w:p>
    <w:p>
      <w:pPr>
        <w:jc w:val="left"/>
        <w:rPr>
          <w:rFonts w:hint="eastAsia" w:ascii="宋体" w:hAnsi="宋体" w:eastAsia="宋体" w:cs="宋体"/>
          <w:sz w:val="28"/>
          <w:szCs w:val="28"/>
          <w:lang w:val="en-US" w:eastAsia="zh-CN"/>
        </w:rPr>
      </w:pPr>
      <w:r>
        <w:tab/>
      </w:r>
      <w:r>
        <w:rPr>
          <w:rFonts w:hint="eastAsia" w:ascii="宋体" w:hAnsi="宋体" w:eastAsia="宋体" w:cs="宋体"/>
          <w:sz w:val="28"/>
          <w:szCs w:val="28"/>
          <w:lang w:val="en-US" w:eastAsia="zh-CN"/>
        </w:rPr>
        <w:t>学校现有教学、科研仪器设备资产总值1.451亿元，生均教学科研仪器设备值0.9万元。当年新增教学科研仪器设备值1794.61万元，新增值达到教学科研仪器设备总值的14.11%。</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本科教学实验仪器设备7526台（套），合计总值0.661亿元，其中单价10万元以上的实验仪器设备79台（套），总值1918.51万元，按本科在校生15620人计算，本科生均实验仪器设备值4231.75元。</w:t>
      </w:r>
    </w:p>
    <w:p>
      <w:pPr>
        <w:pStyle w:val="6"/>
        <w:jc w:val="left"/>
      </w:pPr>
      <w:bookmarkStart w:id="22" w:name="_Toc19853"/>
      <w:r>
        <w:rPr>
          <w:rFonts w:hint="eastAsia" w:ascii="黑体" w:hAnsi="黑体" w:eastAsia="黑体"/>
          <w:sz w:val="28"/>
          <w:szCs w:val="28"/>
        </w:rPr>
        <w:t>3.图书馆及图书资源</w:t>
      </w:r>
      <w:bookmarkEnd w:id="22"/>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截至2020年9月，学校拥有图书馆1个，图书馆总面积达到18234.0</w:t>
      </w:r>
      <w:r>
        <w:rPr>
          <w:rFonts w:hint="eastAsia" w:ascii="宋体" w:hAnsi="宋体" w:eastAsia="宋体" w:cs="宋体"/>
          <w:sz w:val="28"/>
          <w:szCs w:val="28"/>
        </w:rPr>
        <w:t>㎡</w:t>
      </w:r>
      <w:r>
        <w:rPr>
          <w:rFonts w:hint="eastAsia" w:ascii="宋体" w:hAnsi="宋体" w:eastAsia="宋体" w:cs="宋体"/>
          <w:sz w:val="28"/>
          <w:szCs w:val="28"/>
          <w:lang w:val="en-US" w:eastAsia="zh-CN"/>
        </w:rPr>
        <w:t>，阅览室座位数2300个。图书馆拥有纸质图书114.38万册，当年新增22033册，生均纸质图书70.7册；拥有电子期刊76.55万册，学位论文442.33万册，音视频38071小时。2019年图书流通量达到18.70万本册，电子资源访问量11484.43万次，当年电子资源下载量130.56万篇次。</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同时，</w:t>
      </w:r>
      <w:r>
        <w:rPr>
          <w:rFonts w:hint="eastAsia" w:ascii="宋体" w:hAnsi="宋体" w:eastAsia="宋体" w:cs="宋体"/>
          <w:sz w:val="28"/>
          <w:szCs w:val="28"/>
        </w:rPr>
        <w:t>学校在以下几个方面继续加强图书资源建设：</w:t>
      </w:r>
    </w:p>
    <w:p>
      <w:pPr>
        <w:spacing w:line="52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一是加强纸本资源建设。201</w:t>
      </w:r>
      <w:r>
        <w:rPr>
          <w:rFonts w:hint="eastAsia" w:ascii="宋体" w:hAnsi="宋体" w:eastAsia="宋体" w:cs="宋体"/>
          <w:sz w:val="28"/>
          <w:szCs w:val="28"/>
          <w:lang w:val="en-US" w:eastAsia="zh-CN"/>
        </w:rPr>
        <w:t>9</w:t>
      </w: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学年，图书馆新增纸质图书</w:t>
      </w:r>
      <w:r>
        <w:rPr>
          <w:rFonts w:hint="eastAsia" w:ascii="宋体" w:hAnsi="宋体" w:eastAsia="宋体" w:cs="宋体"/>
          <w:sz w:val="28"/>
          <w:szCs w:val="28"/>
          <w:lang w:val="en-US" w:eastAsia="zh-CN"/>
        </w:rPr>
        <w:t>22033</w:t>
      </w:r>
      <w:r>
        <w:rPr>
          <w:rFonts w:hint="eastAsia" w:ascii="宋体" w:hAnsi="宋体" w:eastAsia="宋体" w:cs="宋体"/>
          <w:sz w:val="28"/>
          <w:szCs w:val="28"/>
        </w:rPr>
        <w:t>册，装订过刊</w:t>
      </w:r>
      <w:r>
        <w:rPr>
          <w:rFonts w:hint="eastAsia" w:ascii="宋体" w:hAnsi="宋体" w:eastAsia="宋体" w:cs="宋体"/>
          <w:sz w:val="28"/>
          <w:szCs w:val="28"/>
          <w:lang w:val="en-US" w:eastAsia="zh-CN"/>
        </w:rPr>
        <w:t>702</w:t>
      </w:r>
      <w:r>
        <w:rPr>
          <w:rFonts w:hint="eastAsia" w:ascii="宋体" w:hAnsi="宋体" w:eastAsia="宋体" w:cs="宋体"/>
          <w:sz w:val="28"/>
          <w:szCs w:val="28"/>
        </w:rPr>
        <w:t>册，馆藏纸质图书总量达到</w:t>
      </w:r>
      <w:r>
        <w:rPr>
          <w:rFonts w:hint="eastAsia" w:ascii="宋体" w:hAnsi="宋体" w:eastAsia="宋体" w:cs="宋体"/>
          <w:sz w:val="28"/>
          <w:szCs w:val="28"/>
          <w:lang w:val="en-US" w:eastAsia="zh-CN"/>
        </w:rPr>
        <w:t>114.38万</w:t>
      </w:r>
      <w:r>
        <w:rPr>
          <w:rFonts w:hint="eastAsia" w:ascii="宋体" w:hAnsi="宋体" w:eastAsia="宋体" w:cs="宋体"/>
          <w:sz w:val="28"/>
          <w:szCs w:val="28"/>
        </w:rPr>
        <w:t>册。2019年，阅览室订有报纸49种，中文期刊449种，加上赠送交换刊物，上架报刊总量达到551种</w:t>
      </w:r>
      <w:r>
        <w:rPr>
          <w:rFonts w:hint="eastAsia" w:ascii="宋体" w:hAnsi="宋体" w:eastAsia="宋体" w:cs="宋体"/>
          <w:sz w:val="28"/>
          <w:szCs w:val="28"/>
          <w:lang w:eastAsia="zh-CN"/>
        </w:rPr>
        <w:t>；2020年，阅览室订有报纸41种，中文期刊378种，加上赠送交换刊物，上架报刊总量达到472种。</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二是加强电子资源建设。2019年，图书馆可使用电子资源67种。其中，购买电子资源5种，即中国知网、超星读秀知识库、歌德阅读机、国道外文专题数据库和盈科千信外文数字资源阅览室，共支出82万元。湖南省高校数图中心团购电子资源26种，包括EBSCO综合学科学术文献数据库-ASP/BSP、维普中文科技期刊全文数据库等，支出8万元。自建与安装数据库4种，即潇湘文化专题网、自建电子书资源、汇雅电子书、方正地方志。潇湘文化专题网为永州地方文化特色数据库，涵盖舜文化、柳文化、理学文化、瑶文化与女书文化、古籍与碑刻等主题。开通试用的电子资源32种，包括51CTO学院、法学多用途教学案例库系统、e线图情等。</w:t>
      </w:r>
    </w:p>
    <w:p>
      <w:pPr>
        <w:spacing w:line="52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三是加强地方文献资源建设。</w:t>
      </w:r>
      <w:r>
        <w:rPr>
          <w:rFonts w:hint="eastAsia" w:ascii="宋体" w:hAnsi="宋体" w:eastAsia="宋体" w:cs="宋体"/>
          <w:color w:val="auto"/>
          <w:sz w:val="28"/>
          <w:szCs w:val="28"/>
          <w:lang w:val="en-US" w:eastAsia="zh-CN"/>
        </w:rPr>
        <w:t>2019-2020</w:t>
      </w:r>
      <w:r>
        <w:rPr>
          <w:rFonts w:hint="eastAsia" w:ascii="宋体" w:hAnsi="宋体" w:eastAsia="宋体" w:cs="宋体"/>
          <w:color w:val="auto"/>
          <w:sz w:val="28"/>
          <w:szCs w:val="28"/>
        </w:rPr>
        <w:t>年，通过现采、网购、社会征集和接收捐赠等途径，共获得地方文献</w:t>
      </w:r>
      <w:r>
        <w:rPr>
          <w:rFonts w:hint="eastAsia" w:ascii="宋体" w:hAnsi="宋体" w:eastAsia="宋体" w:cs="宋体"/>
          <w:color w:val="auto"/>
          <w:sz w:val="28"/>
          <w:szCs w:val="28"/>
          <w:lang w:val="en-US" w:eastAsia="zh-CN"/>
        </w:rPr>
        <w:t>1615</w:t>
      </w:r>
      <w:r>
        <w:rPr>
          <w:rFonts w:hint="eastAsia" w:ascii="宋体" w:hAnsi="宋体" w:eastAsia="宋体" w:cs="宋体"/>
          <w:color w:val="auto"/>
          <w:sz w:val="28"/>
          <w:szCs w:val="28"/>
        </w:rPr>
        <w:t>册，通过系统完成文献扫描转换16</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册，地方文献部藏书总量</w:t>
      </w:r>
      <w:r>
        <w:rPr>
          <w:rFonts w:hint="eastAsia" w:ascii="宋体" w:hAnsi="宋体" w:eastAsia="宋体" w:cs="宋体"/>
          <w:color w:val="auto"/>
          <w:sz w:val="28"/>
          <w:szCs w:val="28"/>
          <w:lang w:val="en-US" w:eastAsia="zh-CN"/>
        </w:rPr>
        <w:t>10681</w:t>
      </w:r>
      <w:r>
        <w:rPr>
          <w:rFonts w:hint="eastAsia" w:ascii="宋体" w:hAnsi="宋体" w:eastAsia="宋体" w:cs="宋体"/>
          <w:color w:val="auto"/>
          <w:sz w:val="28"/>
          <w:szCs w:val="28"/>
        </w:rPr>
        <w:t>册。</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四是加强其他资源建设。积极联系日本科学协会，申请成为其受赠馆，图书馆将能够免费获取原版日文图书，更好地为学校外语教学和科研提供文献保障。截止20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月，该协会已赠送到馆日文原版图书</w:t>
      </w:r>
      <w:r>
        <w:rPr>
          <w:rFonts w:hint="eastAsia" w:ascii="宋体" w:hAnsi="宋体" w:eastAsia="宋体" w:cs="宋体"/>
          <w:sz w:val="28"/>
          <w:szCs w:val="28"/>
          <w:lang w:val="en-US" w:eastAsia="zh-CN"/>
        </w:rPr>
        <w:t>9255</w:t>
      </w:r>
      <w:r>
        <w:rPr>
          <w:rFonts w:hint="eastAsia" w:ascii="宋体" w:hAnsi="宋体" w:eastAsia="宋体" w:cs="宋体"/>
          <w:sz w:val="28"/>
          <w:szCs w:val="28"/>
        </w:rPr>
        <w:t>册，价值</w:t>
      </w:r>
      <w:r>
        <w:rPr>
          <w:rFonts w:hint="eastAsia" w:ascii="宋体" w:hAnsi="宋体" w:eastAsia="宋体" w:cs="宋体"/>
          <w:sz w:val="28"/>
          <w:szCs w:val="28"/>
          <w:lang w:val="en-US" w:eastAsia="zh-CN"/>
        </w:rPr>
        <w:t>2186万</w:t>
      </w:r>
      <w:r>
        <w:rPr>
          <w:rFonts w:hint="eastAsia" w:ascii="宋体" w:hAnsi="宋体" w:eastAsia="宋体" w:cs="宋体"/>
          <w:sz w:val="28"/>
          <w:szCs w:val="28"/>
        </w:rPr>
        <w:t>日元，折合人民币约</w:t>
      </w:r>
      <w:r>
        <w:rPr>
          <w:rFonts w:hint="eastAsia" w:ascii="宋体" w:hAnsi="宋体" w:eastAsia="宋体" w:cs="宋体"/>
          <w:sz w:val="28"/>
          <w:szCs w:val="28"/>
          <w:lang w:val="en-US" w:eastAsia="zh-CN"/>
        </w:rPr>
        <w:t>137.99</w:t>
      </w:r>
      <w:r>
        <w:rPr>
          <w:rFonts w:hint="eastAsia" w:ascii="宋体" w:hAnsi="宋体" w:eastAsia="宋体" w:cs="宋体"/>
          <w:sz w:val="28"/>
          <w:szCs w:val="28"/>
        </w:rPr>
        <w:t>万元。</w:t>
      </w:r>
    </w:p>
    <w:p>
      <w:pPr>
        <w:pStyle w:val="2"/>
        <w:rPr>
          <w:rFonts w:hint="eastAsia"/>
          <w:lang w:val="en-US" w:eastAsia="zh-CN"/>
        </w:rPr>
      </w:pPr>
      <w:r>
        <w:rPr>
          <w:rFonts w:hint="eastAsia" w:ascii="宋体" w:hAnsi="宋体" w:eastAsia="宋体" w:cs="宋体"/>
          <w:sz w:val="28"/>
          <w:szCs w:val="28"/>
        </w:rPr>
        <w:t>图书馆电子资源得到有效利用，</w:t>
      </w:r>
      <w:r>
        <w:rPr>
          <w:rFonts w:hint="eastAsia" w:ascii="宋体" w:hAnsi="宋体" w:eastAsia="宋体" w:cs="宋体"/>
          <w:sz w:val="28"/>
          <w:szCs w:val="28"/>
          <w:lang w:val="en-US" w:eastAsia="zh-CN"/>
        </w:rPr>
        <w:t>本学年度</w:t>
      </w:r>
      <w:r>
        <w:rPr>
          <w:rFonts w:hint="eastAsia" w:ascii="宋体" w:hAnsi="宋体" w:eastAsia="宋体" w:cs="宋体"/>
          <w:sz w:val="28"/>
          <w:szCs w:val="28"/>
        </w:rPr>
        <w:t>，中国知网检索112080096次，下载597592次；国道数据特色专题外文数据库检索236278次，下载174886次；超星读秀知识库检索321983次；潇湘文化专题网阅读总量约180万人次。</w:t>
      </w:r>
    </w:p>
    <w:p>
      <w:pPr>
        <w:jc w:val="left"/>
      </w:pPr>
      <w:r>
        <w:tab/>
      </w:r>
    </w:p>
    <w:p>
      <w:pPr>
        <w:pStyle w:val="6"/>
        <w:jc w:val="left"/>
      </w:pPr>
      <w:bookmarkStart w:id="23" w:name="_Toc26099"/>
      <w:r>
        <w:rPr>
          <w:rFonts w:hint="eastAsia" w:ascii="黑体" w:hAnsi="黑体" w:eastAsia="黑体"/>
          <w:sz w:val="28"/>
          <w:szCs w:val="28"/>
        </w:rPr>
        <w:t>4.信息资源</w:t>
      </w:r>
      <w:bookmarkEnd w:id="23"/>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学校</w:t>
      </w:r>
      <w:r>
        <w:rPr>
          <w:rFonts w:hint="eastAsia" w:ascii="宋体" w:hAnsi="宋体" w:eastAsia="宋体" w:cs="宋体"/>
          <w:color w:val="auto"/>
          <w:sz w:val="28"/>
          <w:szCs w:val="28"/>
        </w:rPr>
        <w:t>按照“网络校园、数字校园、智慧校园分步实施，网络安全体系、智能运维体系同步建设”的建设思路，学校信息化建设成效显著。</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学校校园网主干带宽达到</w:t>
      </w:r>
      <w:r>
        <w:rPr>
          <w:rFonts w:hint="eastAsia" w:ascii="宋体" w:hAnsi="宋体" w:eastAsia="宋体" w:cs="宋体"/>
          <w:color w:val="auto"/>
          <w:sz w:val="28"/>
          <w:szCs w:val="28"/>
          <w:lang w:val="en-US" w:eastAsia="zh-CN"/>
        </w:rPr>
        <w:t>40000</w:t>
      </w:r>
      <w:r>
        <w:rPr>
          <w:rFonts w:hint="eastAsia" w:ascii="宋体" w:hAnsi="宋体" w:eastAsia="宋体" w:cs="宋体"/>
          <w:color w:val="auto"/>
          <w:sz w:val="28"/>
          <w:szCs w:val="28"/>
        </w:rPr>
        <w:t>Mbps</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校园网出口带宽</w:t>
      </w:r>
      <w:r>
        <w:rPr>
          <w:rFonts w:hint="eastAsia" w:ascii="宋体" w:hAnsi="宋体" w:eastAsia="宋体" w:cs="宋体"/>
          <w:color w:val="auto"/>
          <w:sz w:val="28"/>
          <w:szCs w:val="28"/>
          <w:lang w:val="en-US" w:eastAsia="zh-CN"/>
        </w:rPr>
        <w:t>14000</w:t>
      </w:r>
      <w:r>
        <w:rPr>
          <w:rFonts w:hint="eastAsia" w:ascii="宋体" w:hAnsi="宋体" w:eastAsia="宋体" w:cs="宋体"/>
          <w:color w:val="auto"/>
          <w:sz w:val="28"/>
          <w:szCs w:val="28"/>
        </w:rPr>
        <w:t>Mbps</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网络接入信息点数量</w:t>
      </w:r>
      <w:r>
        <w:rPr>
          <w:rFonts w:hint="eastAsia" w:ascii="宋体" w:hAnsi="宋体" w:eastAsia="宋体" w:cs="宋体"/>
          <w:color w:val="auto"/>
          <w:sz w:val="28"/>
          <w:szCs w:val="28"/>
          <w:lang w:val="en-US" w:eastAsia="zh-CN"/>
        </w:rPr>
        <w:t>26200</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电子邮件系统用户数</w:t>
      </w:r>
      <w:r>
        <w:rPr>
          <w:rFonts w:hint="eastAsia" w:ascii="宋体" w:hAnsi="宋体" w:eastAsia="宋体" w:cs="宋体"/>
          <w:color w:val="auto"/>
          <w:sz w:val="28"/>
          <w:szCs w:val="28"/>
          <w:lang w:val="en-US" w:eastAsia="zh-CN"/>
        </w:rPr>
        <w:t>1500</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管理信息系统数据总量</w:t>
      </w:r>
      <w:r>
        <w:rPr>
          <w:rFonts w:hint="eastAsia" w:ascii="宋体" w:hAnsi="宋体" w:eastAsia="宋体" w:cs="宋体"/>
          <w:color w:val="auto"/>
          <w:sz w:val="28"/>
          <w:szCs w:val="28"/>
          <w:lang w:val="en-US" w:eastAsia="zh-CN"/>
        </w:rPr>
        <w:t>7500.0</w:t>
      </w:r>
      <w:r>
        <w:rPr>
          <w:rFonts w:hint="eastAsia" w:ascii="宋体" w:hAnsi="宋体" w:eastAsia="宋体" w:cs="宋体"/>
          <w:color w:val="auto"/>
          <w:sz w:val="28"/>
          <w:szCs w:val="28"/>
        </w:rPr>
        <w:t>GB</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信息化工作人员</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人。</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学校现已</w:t>
      </w:r>
      <w:r>
        <w:rPr>
          <w:rFonts w:hint="eastAsia" w:ascii="宋体" w:hAnsi="宋体" w:eastAsia="宋体" w:cs="宋体"/>
          <w:color w:val="auto"/>
          <w:sz w:val="28"/>
          <w:szCs w:val="28"/>
        </w:rPr>
        <w:t>建成“一个物理网、多个逻辑网、各运营商独立运营”的校园网体系结构，实现了 “光纤链路、公网出口、身份认证、运行管理和安全防护”五个统一，高速、安全、绿色的校园网络已然建成。校园网最大可支持48个万兆出口，目前使用了7个万兆出口，总出口带宽13G。光纤总芯数8000多芯，总长度41.2公里；校园网网络设备近10000台，其中无线AP有4700余台，校内教学区、学生区、公共区域已实现了无线Wifi网络全覆盖，各教学楼、办公楼、宿舍楼有线网络完成了千兆接入桌面，实现了人人、时时、处处可上网，上网率在75%以上。</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开发了学工管理系统、线上迎新系统、可视化校园平台、科研管理系统、阳光服务平台、网站群管理平台、办公、邮件、校园APP等业务管理系统。对接了教务系统、财务系统、图书管理系统、资产管理系统等。完成一卡通平台、教室监控、云录播、保卫监控系统、IP广播、云桌面等应用业务系统建设。一卡通系统应用于学校的图书借阅、楼宇门禁、身份识别、会议签到、餐饮消费、洗浴消费、电费购买等覆盖全校范围多业务场景，实现了真正意义上的全校一卡通，并可以将实体校园卡捆绑到手机上，实现只带手机刷遍全校的一卡通虚拟卡功能。新建数据交换平台、个人信息门户、统一身份认证等三大平台，打破“信息孤岛”，实现了信息共享，提升了学校信息化管理水平和信息化服务能力。</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建立统一上网认证系统、网络日志系统、上网行为审计系统、Web防火墙（WAF）、漏洞扫描系统、入侵防御系统（IPS）、虚拟专用网络（VPN）、网络管理与智能运维系统；设置学校内部保密专网体系、校内保密网与普网之间的第二道物理防火墙，确保了保密网内部数据信息不外泄；建立校园网监控中心，开发网站自动巡检系统和舆情监控系统，实现全网自动巡检和预警，网络安全保障能力不断提升。</w:t>
      </w:r>
      <w:r>
        <w:rPr>
          <w:rFonts w:hint="eastAsia" w:ascii="宋体" w:hAnsi="宋体" w:eastAsia="宋体" w:cs="宋体"/>
          <w:color w:val="auto"/>
          <w:sz w:val="28"/>
          <w:szCs w:val="28"/>
        </w:rPr>
        <w:tab/>
      </w:r>
    </w:p>
    <w:p>
      <w:pPr>
        <w:jc w:val="left"/>
      </w:pPr>
    </w:p>
    <w:p>
      <w:pPr>
        <w:jc w:val="left"/>
      </w:pPr>
      <w:r>
        <w:br w:type="page"/>
      </w:r>
    </w:p>
    <w:p>
      <w:pPr>
        <w:pStyle w:val="4"/>
        <w:jc w:val="left"/>
        <w:rPr>
          <w:rFonts w:hint="eastAsia" w:ascii="黑体" w:hAnsi="黑体" w:eastAsia="黑体" w:cs="黑体"/>
        </w:rPr>
      </w:pPr>
      <w:bookmarkStart w:id="24" w:name="_Toc20847"/>
      <w:bookmarkStart w:id="25" w:name="_Toc6802"/>
      <w:r>
        <w:rPr>
          <w:rFonts w:hint="eastAsia" w:ascii="黑体" w:hAnsi="黑体" w:eastAsia="黑体" w:cs="黑体"/>
          <w:sz w:val="28"/>
          <w:szCs w:val="28"/>
        </w:rPr>
        <w:t>三、教学建设与改革</w:t>
      </w:r>
      <w:bookmarkEnd w:id="24"/>
      <w:bookmarkEnd w:id="25"/>
    </w:p>
    <w:p>
      <w:pPr>
        <w:pStyle w:val="5"/>
        <w:jc w:val="left"/>
      </w:pPr>
      <w:bookmarkStart w:id="26" w:name="_Toc18607"/>
      <w:bookmarkStart w:id="27" w:name="_Toc12627"/>
      <w:r>
        <w:rPr>
          <w:rFonts w:hint="eastAsia" w:ascii="黑体" w:hAnsi="黑体" w:eastAsia="黑体"/>
          <w:sz w:val="28"/>
          <w:szCs w:val="28"/>
        </w:rPr>
        <w:t>（一）专业建设</w:t>
      </w:r>
      <w:bookmarkEnd w:id="26"/>
      <w:bookmarkEnd w:id="27"/>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我校现有1个国家特色专业，</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个省级一流本科专业建设点，2个湖南省“十二五”综合改革试点专业，3个湖南省“十三五”综合改革试点专业。</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学校采取了以下措施加强专业建设：</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一是加强专业建设投入。制定了《湖南科技学院专业建设项目管理办法》，确保专业建设经费投入，突出教学中心地位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既加大对实验室、实习基地等基础设施建设投入，也增加对课程建设、教材建设、专业教学改革与建设投入。</w:t>
      </w:r>
      <w:r>
        <w:rPr>
          <w:rFonts w:hint="eastAsia" w:ascii="宋体" w:hAnsi="宋体" w:eastAsia="宋体" w:cs="宋体"/>
          <w:color w:val="auto"/>
          <w:sz w:val="28"/>
          <w:szCs w:val="28"/>
          <w:lang w:eastAsia="zh-CN"/>
        </w:rPr>
        <w:t>同时</w:t>
      </w:r>
      <w:r>
        <w:rPr>
          <w:rFonts w:hint="eastAsia" w:ascii="宋体" w:hAnsi="宋体" w:eastAsia="宋体" w:cs="宋体"/>
          <w:color w:val="auto"/>
          <w:sz w:val="28"/>
          <w:szCs w:val="28"/>
        </w:rPr>
        <w:t>积极拓宽资金来源，在积极争取政府财政资金支持的同时，通过校地合作、校企合作等多种方式筹集资金，确保专业建设规划资金需求。</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二是力促专业转型发展。继续资助2016 年立项的旅游管理、计算机科学与技术和生物工程3个湖南省“十三五”综合改革试点专业；继续资助汉语言文学、英语、土木工程、数学与应用数学、电子信息工程、音乐学6个校级转型发展试点专业；本年度立项</w:t>
      </w:r>
      <w:r>
        <w:rPr>
          <w:rFonts w:hint="eastAsia" w:ascii="宋体" w:hAnsi="宋体" w:eastAsia="宋体" w:cs="宋体"/>
          <w:color w:val="auto"/>
          <w:sz w:val="28"/>
          <w:szCs w:val="28"/>
          <w:lang w:val="en-US" w:eastAsia="zh-CN"/>
        </w:rPr>
        <w:t>建设</w:t>
      </w:r>
      <w:r>
        <w:rPr>
          <w:rFonts w:hint="eastAsia" w:ascii="宋体" w:hAnsi="宋体" w:eastAsia="宋体" w:cs="宋体"/>
          <w:color w:val="auto"/>
          <w:sz w:val="28"/>
          <w:szCs w:val="28"/>
        </w:rPr>
        <w:t>校级“一流专业”</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个。</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三是加强专业动态调整。根据我校的办学定位与目标，2019年新申报了航空服务艺术与管理专业，并于2020年开始招生；根据学校专业整体规划情况，教育技术学、统计学、戏剧影视文学三个专业2020年继续停招。</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四是加强对专业建设评估与检查。制定了《2019年湖南科技学院本科专业综合评价工作实施方案》，开展本科专业综合评价</w:t>
      </w:r>
      <w:r>
        <w:rPr>
          <w:rFonts w:hint="eastAsia" w:ascii="宋体" w:hAnsi="宋体" w:eastAsia="宋体" w:cs="宋体"/>
          <w:color w:val="auto"/>
          <w:sz w:val="28"/>
          <w:szCs w:val="28"/>
          <w:lang w:val="en-US" w:eastAsia="zh-CN"/>
        </w:rPr>
        <w:t>工作</w:t>
      </w:r>
      <w:r>
        <w:rPr>
          <w:rFonts w:hint="eastAsia" w:ascii="宋体" w:hAnsi="宋体" w:eastAsia="宋体" w:cs="宋体"/>
          <w:color w:val="auto"/>
          <w:sz w:val="28"/>
          <w:szCs w:val="28"/>
        </w:rPr>
        <w:t>，为一流专业建设遴选和合理规划专业设置，以及专业结构调整提供科学依据。完善各级各类立项专业评估制度，定期开展年度检查和评估验收工作，对优势专业制定相应的评价标准</w:t>
      </w:r>
      <w:r>
        <w:rPr>
          <w:rFonts w:hint="eastAsia" w:ascii="宋体" w:hAnsi="宋体" w:eastAsia="宋体" w:cs="宋体"/>
          <w:color w:val="auto"/>
          <w:sz w:val="28"/>
          <w:szCs w:val="28"/>
          <w:lang w:val="en-US" w:eastAsia="zh-CN"/>
        </w:rPr>
        <w:t>和</w:t>
      </w:r>
      <w:r>
        <w:rPr>
          <w:rFonts w:hint="eastAsia" w:ascii="宋体" w:hAnsi="宋体" w:eastAsia="宋体" w:cs="宋体"/>
          <w:color w:val="auto"/>
          <w:sz w:val="28"/>
          <w:szCs w:val="28"/>
        </w:rPr>
        <w:t>激励措施，促进优势专业健康发展。</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五是组织修订20</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级各专业人才培养方案，加强各专业课程体系建设。20</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级本科培养方案中，各学科培养方案学分统计如下表6所示。</w:t>
      </w:r>
    </w:p>
    <w:p>
      <w:pPr>
        <w:jc w:val="center"/>
        <w:rPr>
          <w:rFonts w:hint="eastAsia" w:ascii="宋体" w:hAnsi="宋体" w:eastAsia="宋体"/>
          <w:color w:val="auto"/>
          <w:sz w:val="24"/>
          <w:szCs w:val="24"/>
        </w:rPr>
      </w:pPr>
      <w:r>
        <w:rPr>
          <w:rFonts w:hint="eastAsia" w:ascii="宋体" w:hAnsi="宋体" w:eastAsia="宋体"/>
          <w:color w:val="auto"/>
          <w:sz w:val="24"/>
          <w:szCs w:val="24"/>
        </w:rPr>
        <w:t>表6  全校各学科</w:t>
      </w:r>
      <w:r>
        <w:rPr>
          <w:rFonts w:hint="eastAsia" w:ascii="宋体" w:hAnsi="宋体" w:eastAsia="宋体"/>
          <w:color w:val="auto"/>
          <w:sz w:val="24"/>
          <w:szCs w:val="24"/>
          <w:u w:val="single"/>
          <w:lang w:val="en-US" w:eastAsia="zh-CN"/>
        </w:rPr>
        <w:t>2020</w:t>
      </w:r>
      <w:r>
        <w:rPr>
          <w:rFonts w:hint="eastAsia" w:ascii="宋体" w:hAnsi="宋体" w:eastAsia="宋体"/>
          <w:color w:val="auto"/>
          <w:sz w:val="24"/>
          <w:szCs w:val="24"/>
        </w:rPr>
        <w:t>级本科专业培养方案学分统计表</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4"/>
        <w:gridCol w:w="1065"/>
        <w:gridCol w:w="1065"/>
        <w:gridCol w:w="1065"/>
        <w:gridCol w:w="1065"/>
        <w:gridCol w:w="1065"/>
        <w:gridCol w:w="1065"/>
        <w:gridCol w:w="10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624" w:type="pct"/>
            <w:vAlign w:val="center"/>
          </w:tcPr>
          <w:p>
            <w:pPr>
              <w:jc w:val="center"/>
            </w:pPr>
            <w:r>
              <w:rPr>
                <w:rFonts w:hint="eastAsia" w:ascii="宋体" w:hAnsi="宋体" w:eastAsia="宋体"/>
                <w:b/>
                <w:sz w:val="21"/>
                <w:szCs w:val="21"/>
              </w:rPr>
              <w:t>学科</w:t>
            </w:r>
          </w:p>
        </w:tc>
        <w:tc>
          <w:tcPr>
            <w:tcW w:w="624" w:type="pct"/>
            <w:vAlign w:val="center"/>
          </w:tcPr>
          <w:p>
            <w:pPr>
              <w:jc w:val="center"/>
            </w:pPr>
            <w:r>
              <w:rPr>
                <w:rFonts w:hint="eastAsia" w:ascii="宋体" w:hAnsi="宋体" w:eastAsia="宋体"/>
                <w:b/>
                <w:sz w:val="21"/>
                <w:szCs w:val="21"/>
              </w:rPr>
              <w:t>必修课学分比例（%）</w:t>
            </w:r>
          </w:p>
        </w:tc>
        <w:tc>
          <w:tcPr>
            <w:tcW w:w="624" w:type="pct"/>
            <w:vAlign w:val="center"/>
          </w:tcPr>
          <w:p>
            <w:pPr>
              <w:jc w:val="center"/>
            </w:pPr>
            <w:r>
              <w:rPr>
                <w:rFonts w:hint="eastAsia" w:ascii="宋体" w:hAnsi="宋体" w:eastAsia="宋体"/>
                <w:b/>
                <w:sz w:val="21"/>
                <w:szCs w:val="21"/>
              </w:rPr>
              <w:t>选修课学分比例（%）</w:t>
            </w:r>
          </w:p>
        </w:tc>
        <w:tc>
          <w:tcPr>
            <w:tcW w:w="624" w:type="pct"/>
            <w:vAlign w:val="center"/>
          </w:tcPr>
          <w:p>
            <w:pPr>
              <w:jc w:val="center"/>
            </w:pPr>
            <w:r>
              <w:rPr>
                <w:rFonts w:hint="eastAsia" w:ascii="宋体" w:hAnsi="宋体" w:eastAsia="宋体"/>
                <w:b/>
                <w:sz w:val="21"/>
                <w:szCs w:val="21"/>
              </w:rPr>
              <w:t>实践教学学分比例（%）</w:t>
            </w:r>
          </w:p>
        </w:tc>
        <w:tc>
          <w:tcPr>
            <w:tcW w:w="624" w:type="pct"/>
            <w:vAlign w:val="center"/>
          </w:tcPr>
          <w:p>
            <w:pPr>
              <w:jc w:val="center"/>
            </w:pPr>
            <w:r>
              <w:rPr>
                <w:rFonts w:hint="eastAsia" w:ascii="宋体" w:hAnsi="宋体" w:eastAsia="宋体"/>
                <w:b/>
                <w:sz w:val="21"/>
                <w:szCs w:val="21"/>
              </w:rPr>
              <w:t>学科</w:t>
            </w:r>
          </w:p>
        </w:tc>
        <w:tc>
          <w:tcPr>
            <w:tcW w:w="624" w:type="pct"/>
            <w:vAlign w:val="center"/>
          </w:tcPr>
          <w:p>
            <w:pPr>
              <w:jc w:val="center"/>
            </w:pPr>
            <w:r>
              <w:rPr>
                <w:rFonts w:hint="eastAsia" w:ascii="宋体" w:hAnsi="宋体" w:eastAsia="宋体"/>
                <w:b/>
                <w:sz w:val="21"/>
                <w:szCs w:val="21"/>
              </w:rPr>
              <w:t>必修课学分比例（%）</w:t>
            </w:r>
          </w:p>
        </w:tc>
        <w:tc>
          <w:tcPr>
            <w:tcW w:w="624" w:type="pct"/>
            <w:vAlign w:val="center"/>
          </w:tcPr>
          <w:p>
            <w:pPr>
              <w:jc w:val="center"/>
            </w:pPr>
            <w:r>
              <w:rPr>
                <w:rFonts w:hint="eastAsia" w:ascii="宋体" w:hAnsi="宋体" w:eastAsia="宋体"/>
                <w:b/>
                <w:sz w:val="21"/>
                <w:szCs w:val="21"/>
              </w:rPr>
              <w:t>选修课学分比例（%）</w:t>
            </w:r>
          </w:p>
        </w:tc>
        <w:tc>
          <w:tcPr>
            <w:tcW w:w="626" w:type="pct"/>
            <w:vAlign w:val="center"/>
          </w:tcPr>
          <w:p>
            <w:pPr>
              <w:jc w:val="center"/>
            </w:pPr>
            <w:r>
              <w:rPr>
                <w:rFonts w:hint="eastAsia" w:ascii="宋体" w:hAnsi="宋体" w:eastAsia="宋体"/>
                <w:b/>
                <w:sz w:val="21"/>
                <w:szCs w:val="21"/>
              </w:rPr>
              <w:t>实践教学学分比例（%）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哲学</w:t>
            </w:r>
          </w:p>
        </w:tc>
        <w:tc>
          <w:tcPr>
            <w:tcW w:w="624" w:type="pct"/>
            <w:vAlign w:val="center"/>
          </w:tcPr>
          <w:p>
            <w:pPr>
              <w:jc w:val="center"/>
              <w:rPr>
                <w:rFonts w:hint="default"/>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理学</w:t>
            </w:r>
          </w:p>
        </w:tc>
        <w:tc>
          <w:tcPr>
            <w:tcW w:w="624" w:type="pct"/>
            <w:vAlign w:val="center"/>
          </w:tcPr>
          <w:p>
            <w:pPr>
              <w:jc w:val="center"/>
              <w:rPr>
                <w:rFonts w:hint="default"/>
                <w:lang w:val="en-US" w:eastAsia="zh-CN"/>
              </w:rPr>
            </w:pPr>
            <w:r>
              <w:rPr>
                <w:rFonts w:hint="eastAsia"/>
                <w:lang w:val="en-US" w:eastAsia="zh-CN"/>
              </w:rPr>
              <w:t>78.89</w:t>
            </w:r>
          </w:p>
        </w:tc>
        <w:tc>
          <w:tcPr>
            <w:tcW w:w="624" w:type="pct"/>
            <w:vAlign w:val="center"/>
          </w:tcPr>
          <w:p>
            <w:pPr>
              <w:jc w:val="center"/>
              <w:rPr>
                <w:rFonts w:hint="eastAsia"/>
                <w:lang w:val="en-US" w:eastAsia="zh-CN"/>
              </w:rPr>
            </w:pPr>
            <w:r>
              <w:rPr>
                <w:rFonts w:hint="eastAsia"/>
                <w:lang w:val="en-US" w:eastAsia="zh-CN"/>
              </w:rPr>
              <w:t>21.11</w:t>
            </w:r>
          </w:p>
        </w:tc>
        <w:tc>
          <w:tcPr>
            <w:tcW w:w="626" w:type="pct"/>
            <w:vAlign w:val="center"/>
          </w:tcPr>
          <w:p>
            <w:pPr>
              <w:jc w:val="center"/>
              <w:rPr>
                <w:rFonts w:hint="eastAsia"/>
                <w:lang w:val="en-US" w:eastAsia="zh-CN"/>
              </w:rPr>
            </w:pPr>
            <w:r>
              <w:rPr>
                <w:rFonts w:hint="eastAsia"/>
                <w:lang w:val="en-US" w:eastAsia="zh-CN"/>
              </w:rPr>
              <w:t>31.25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经济学</w:t>
            </w:r>
          </w:p>
        </w:tc>
        <w:tc>
          <w:tcPr>
            <w:tcW w:w="624" w:type="pct"/>
            <w:vAlign w:val="center"/>
          </w:tcPr>
          <w:p>
            <w:pPr>
              <w:jc w:val="center"/>
              <w:rPr>
                <w:rFonts w:hint="eastAsia"/>
                <w:lang w:val="en-US" w:eastAsia="zh-CN"/>
              </w:rPr>
            </w:pPr>
            <w:r>
              <w:rPr>
                <w:rFonts w:hint="eastAsia"/>
                <w:lang w:val="en-US" w:eastAsia="zh-CN"/>
              </w:rPr>
              <w:t>79.83</w:t>
            </w:r>
          </w:p>
        </w:tc>
        <w:tc>
          <w:tcPr>
            <w:tcW w:w="624" w:type="pct"/>
            <w:vAlign w:val="center"/>
          </w:tcPr>
          <w:p>
            <w:pPr>
              <w:jc w:val="center"/>
              <w:rPr>
                <w:rFonts w:hint="eastAsia"/>
                <w:lang w:val="en-US" w:eastAsia="zh-CN"/>
              </w:rPr>
            </w:pPr>
            <w:r>
              <w:rPr>
                <w:rFonts w:hint="eastAsia"/>
                <w:lang w:val="en-US" w:eastAsia="zh-CN"/>
              </w:rPr>
              <w:t>20.17</w:t>
            </w:r>
          </w:p>
        </w:tc>
        <w:tc>
          <w:tcPr>
            <w:tcW w:w="624" w:type="pct"/>
            <w:vAlign w:val="center"/>
          </w:tcPr>
          <w:p>
            <w:pPr>
              <w:jc w:val="center"/>
              <w:rPr>
                <w:rFonts w:hint="eastAsia"/>
                <w:lang w:val="en-US" w:eastAsia="zh-CN"/>
              </w:rPr>
            </w:pPr>
            <w:r>
              <w:rPr>
                <w:rFonts w:hint="eastAsia"/>
                <w:lang w:val="en-US" w:eastAsia="zh-CN"/>
              </w:rPr>
              <w:t>33.92</w:t>
            </w:r>
          </w:p>
        </w:tc>
        <w:tc>
          <w:tcPr>
            <w:tcW w:w="624" w:type="pct"/>
            <w:vAlign w:val="center"/>
          </w:tcPr>
          <w:p>
            <w:pPr>
              <w:jc w:val="center"/>
              <w:rPr>
                <w:rFonts w:hint="eastAsia"/>
                <w:lang w:val="en-US" w:eastAsia="zh-CN"/>
              </w:rPr>
            </w:pPr>
            <w:r>
              <w:rPr>
                <w:rFonts w:hint="eastAsia"/>
                <w:lang w:val="en-US" w:eastAsia="zh-CN"/>
              </w:rPr>
              <w:t>工学</w:t>
            </w:r>
          </w:p>
        </w:tc>
        <w:tc>
          <w:tcPr>
            <w:tcW w:w="624" w:type="pct"/>
            <w:vAlign w:val="center"/>
          </w:tcPr>
          <w:p>
            <w:pPr>
              <w:jc w:val="center"/>
              <w:rPr>
                <w:rFonts w:hint="eastAsia"/>
                <w:lang w:val="en-US" w:eastAsia="zh-CN"/>
              </w:rPr>
            </w:pPr>
            <w:r>
              <w:rPr>
                <w:rFonts w:hint="eastAsia"/>
                <w:lang w:val="en-US" w:eastAsia="zh-CN"/>
              </w:rPr>
              <w:t>78.55</w:t>
            </w:r>
          </w:p>
        </w:tc>
        <w:tc>
          <w:tcPr>
            <w:tcW w:w="624" w:type="pct"/>
            <w:vAlign w:val="center"/>
          </w:tcPr>
          <w:p>
            <w:pPr>
              <w:jc w:val="center"/>
              <w:rPr>
                <w:rFonts w:hint="eastAsia"/>
                <w:lang w:val="en-US" w:eastAsia="zh-CN"/>
              </w:rPr>
            </w:pPr>
            <w:r>
              <w:rPr>
                <w:rFonts w:hint="eastAsia"/>
                <w:lang w:val="en-US" w:eastAsia="zh-CN"/>
              </w:rPr>
              <w:t>20.23</w:t>
            </w:r>
          </w:p>
        </w:tc>
        <w:tc>
          <w:tcPr>
            <w:tcW w:w="626" w:type="pct"/>
            <w:vAlign w:val="center"/>
          </w:tcPr>
          <w:p>
            <w:pPr>
              <w:jc w:val="center"/>
              <w:rPr>
                <w:rFonts w:hint="eastAsia"/>
                <w:lang w:val="en-US" w:eastAsia="zh-CN"/>
              </w:rPr>
            </w:pPr>
            <w:r>
              <w:rPr>
                <w:rFonts w:hint="eastAsia"/>
                <w:lang w:val="en-US" w:eastAsia="zh-CN"/>
              </w:rPr>
              <w:t>35.62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法学</w:t>
            </w:r>
          </w:p>
        </w:tc>
        <w:tc>
          <w:tcPr>
            <w:tcW w:w="624" w:type="pct"/>
            <w:vAlign w:val="center"/>
          </w:tcPr>
          <w:p>
            <w:pPr>
              <w:jc w:val="center"/>
              <w:rPr>
                <w:rFonts w:hint="eastAsia"/>
                <w:lang w:val="en-US" w:eastAsia="zh-CN"/>
              </w:rPr>
            </w:pPr>
            <w:r>
              <w:rPr>
                <w:rFonts w:hint="eastAsia"/>
                <w:lang w:val="en-US" w:eastAsia="zh-CN"/>
              </w:rPr>
              <w:t>77.71</w:t>
            </w:r>
          </w:p>
        </w:tc>
        <w:tc>
          <w:tcPr>
            <w:tcW w:w="624" w:type="pct"/>
            <w:vAlign w:val="center"/>
          </w:tcPr>
          <w:p>
            <w:pPr>
              <w:jc w:val="center"/>
              <w:rPr>
                <w:rFonts w:hint="eastAsia"/>
                <w:lang w:val="en-US" w:eastAsia="zh-CN"/>
              </w:rPr>
            </w:pPr>
            <w:r>
              <w:rPr>
                <w:rFonts w:hint="eastAsia"/>
                <w:lang w:val="en-US" w:eastAsia="zh-CN"/>
              </w:rPr>
              <w:t>22.29</w:t>
            </w:r>
          </w:p>
        </w:tc>
        <w:tc>
          <w:tcPr>
            <w:tcW w:w="624" w:type="pct"/>
            <w:vAlign w:val="center"/>
          </w:tcPr>
          <w:p>
            <w:pPr>
              <w:jc w:val="center"/>
              <w:rPr>
                <w:rFonts w:hint="eastAsia"/>
                <w:lang w:val="en-US" w:eastAsia="zh-CN"/>
              </w:rPr>
            </w:pPr>
            <w:r>
              <w:rPr>
                <w:rFonts w:hint="eastAsia"/>
                <w:lang w:val="en-US" w:eastAsia="zh-CN"/>
              </w:rPr>
              <w:t>36.98</w:t>
            </w:r>
          </w:p>
        </w:tc>
        <w:tc>
          <w:tcPr>
            <w:tcW w:w="624" w:type="pct"/>
            <w:vAlign w:val="center"/>
          </w:tcPr>
          <w:p>
            <w:pPr>
              <w:jc w:val="center"/>
              <w:rPr>
                <w:rFonts w:hint="eastAsia"/>
                <w:lang w:val="en-US" w:eastAsia="zh-CN"/>
              </w:rPr>
            </w:pPr>
            <w:r>
              <w:rPr>
                <w:rFonts w:hint="eastAsia"/>
                <w:lang w:val="en-US" w:eastAsia="zh-CN"/>
              </w:rPr>
              <w:t>农学</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6" w:type="pct"/>
            <w:vAlign w:val="center"/>
          </w:tcPr>
          <w:p>
            <w:pPr>
              <w:jc w:val="center"/>
              <w:rPr>
                <w:rFonts w:hint="eastAsia"/>
                <w:lang w:val="en-US" w:eastAsia="zh-CN"/>
              </w:rP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教育学</w:t>
            </w:r>
          </w:p>
        </w:tc>
        <w:tc>
          <w:tcPr>
            <w:tcW w:w="624" w:type="pct"/>
            <w:vAlign w:val="center"/>
          </w:tcPr>
          <w:p>
            <w:pPr>
              <w:jc w:val="center"/>
              <w:rPr>
                <w:rFonts w:hint="eastAsia"/>
                <w:lang w:val="en-US" w:eastAsia="zh-CN"/>
              </w:rPr>
            </w:pPr>
            <w:r>
              <w:rPr>
                <w:rFonts w:hint="eastAsia"/>
                <w:lang w:val="en-US" w:eastAsia="zh-CN"/>
              </w:rPr>
              <w:t>72.94</w:t>
            </w:r>
          </w:p>
        </w:tc>
        <w:tc>
          <w:tcPr>
            <w:tcW w:w="624" w:type="pct"/>
            <w:vAlign w:val="center"/>
          </w:tcPr>
          <w:p>
            <w:pPr>
              <w:jc w:val="center"/>
              <w:rPr>
                <w:rFonts w:hint="eastAsia"/>
                <w:lang w:val="en-US" w:eastAsia="zh-CN"/>
              </w:rPr>
            </w:pPr>
            <w:r>
              <w:rPr>
                <w:rFonts w:hint="eastAsia"/>
                <w:lang w:val="en-US" w:eastAsia="zh-CN"/>
              </w:rPr>
              <w:t>27.06</w:t>
            </w:r>
          </w:p>
        </w:tc>
        <w:tc>
          <w:tcPr>
            <w:tcW w:w="624" w:type="pct"/>
            <w:vAlign w:val="center"/>
          </w:tcPr>
          <w:p>
            <w:pPr>
              <w:jc w:val="center"/>
              <w:rPr>
                <w:rFonts w:hint="eastAsia"/>
                <w:lang w:val="en-US" w:eastAsia="zh-CN"/>
              </w:rPr>
            </w:pPr>
            <w:r>
              <w:rPr>
                <w:rFonts w:hint="eastAsia"/>
                <w:lang w:val="en-US" w:eastAsia="zh-CN"/>
              </w:rPr>
              <w:t>51.53</w:t>
            </w:r>
          </w:p>
        </w:tc>
        <w:tc>
          <w:tcPr>
            <w:tcW w:w="624" w:type="pct"/>
            <w:vAlign w:val="center"/>
          </w:tcPr>
          <w:p>
            <w:pPr>
              <w:jc w:val="center"/>
              <w:rPr>
                <w:rFonts w:hint="eastAsia"/>
                <w:lang w:val="en-US" w:eastAsia="zh-CN"/>
              </w:rPr>
            </w:pPr>
            <w:r>
              <w:rPr>
                <w:rFonts w:hint="eastAsia"/>
                <w:lang w:val="en-US" w:eastAsia="zh-CN"/>
              </w:rPr>
              <w:t>医学</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6" w:type="pct"/>
            <w:vAlign w:val="center"/>
          </w:tcPr>
          <w:p>
            <w:pPr>
              <w:jc w:val="center"/>
              <w:rPr>
                <w:rFonts w:hint="eastAsia"/>
                <w:lang w:val="en-US" w:eastAsia="zh-CN"/>
              </w:rP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文学</w:t>
            </w:r>
          </w:p>
        </w:tc>
        <w:tc>
          <w:tcPr>
            <w:tcW w:w="624" w:type="pct"/>
            <w:vAlign w:val="center"/>
          </w:tcPr>
          <w:p>
            <w:pPr>
              <w:jc w:val="center"/>
              <w:rPr>
                <w:rFonts w:hint="eastAsia"/>
                <w:lang w:val="en-US" w:eastAsia="zh-CN"/>
              </w:rPr>
            </w:pPr>
            <w:r>
              <w:rPr>
                <w:rFonts w:hint="eastAsia"/>
                <w:lang w:val="en-US" w:eastAsia="zh-CN"/>
              </w:rPr>
              <w:t>78.76</w:t>
            </w:r>
          </w:p>
        </w:tc>
        <w:tc>
          <w:tcPr>
            <w:tcW w:w="624" w:type="pct"/>
            <w:vAlign w:val="center"/>
          </w:tcPr>
          <w:p>
            <w:pPr>
              <w:jc w:val="center"/>
              <w:rPr>
                <w:rFonts w:hint="eastAsia"/>
                <w:lang w:val="en-US" w:eastAsia="zh-CN"/>
              </w:rPr>
            </w:pPr>
            <w:r>
              <w:rPr>
                <w:rFonts w:hint="eastAsia"/>
                <w:lang w:val="en-US" w:eastAsia="zh-CN"/>
              </w:rPr>
              <w:t>21.24</w:t>
            </w:r>
          </w:p>
        </w:tc>
        <w:tc>
          <w:tcPr>
            <w:tcW w:w="624" w:type="pct"/>
            <w:vAlign w:val="center"/>
          </w:tcPr>
          <w:p>
            <w:pPr>
              <w:jc w:val="center"/>
              <w:rPr>
                <w:rFonts w:hint="eastAsia"/>
                <w:lang w:val="en-US" w:eastAsia="zh-CN"/>
              </w:rPr>
            </w:pPr>
            <w:r>
              <w:rPr>
                <w:rFonts w:hint="eastAsia"/>
                <w:lang w:val="en-US" w:eastAsia="zh-CN"/>
              </w:rPr>
              <w:t>38.35</w:t>
            </w:r>
          </w:p>
        </w:tc>
        <w:tc>
          <w:tcPr>
            <w:tcW w:w="624" w:type="pct"/>
            <w:vAlign w:val="center"/>
          </w:tcPr>
          <w:p>
            <w:pPr>
              <w:jc w:val="center"/>
              <w:rPr>
                <w:rFonts w:hint="eastAsia"/>
                <w:lang w:val="en-US" w:eastAsia="zh-CN"/>
              </w:rPr>
            </w:pPr>
            <w:r>
              <w:rPr>
                <w:rFonts w:hint="eastAsia"/>
                <w:lang w:val="en-US" w:eastAsia="zh-CN"/>
              </w:rPr>
              <w:t>管理学</w:t>
            </w:r>
          </w:p>
        </w:tc>
        <w:tc>
          <w:tcPr>
            <w:tcW w:w="624" w:type="pct"/>
            <w:vAlign w:val="center"/>
          </w:tcPr>
          <w:p>
            <w:pPr>
              <w:jc w:val="center"/>
              <w:rPr>
                <w:rFonts w:hint="eastAsia"/>
                <w:lang w:val="en-US" w:eastAsia="zh-CN"/>
              </w:rPr>
            </w:pPr>
            <w:r>
              <w:rPr>
                <w:rFonts w:hint="eastAsia"/>
                <w:lang w:val="en-US" w:eastAsia="zh-CN"/>
              </w:rPr>
              <w:t>73.82</w:t>
            </w:r>
          </w:p>
        </w:tc>
        <w:tc>
          <w:tcPr>
            <w:tcW w:w="624" w:type="pct"/>
            <w:vAlign w:val="center"/>
          </w:tcPr>
          <w:p>
            <w:pPr>
              <w:jc w:val="center"/>
              <w:rPr>
                <w:rFonts w:hint="eastAsia"/>
                <w:lang w:val="en-US" w:eastAsia="zh-CN"/>
              </w:rPr>
            </w:pPr>
            <w:r>
              <w:rPr>
                <w:rFonts w:hint="eastAsia"/>
                <w:lang w:val="en-US" w:eastAsia="zh-CN"/>
              </w:rPr>
              <w:t>22.76</w:t>
            </w:r>
          </w:p>
        </w:tc>
        <w:tc>
          <w:tcPr>
            <w:tcW w:w="626" w:type="pct"/>
            <w:vAlign w:val="center"/>
          </w:tcPr>
          <w:p>
            <w:pPr>
              <w:jc w:val="center"/>
              <w:rPr>
                <w:rFonts w:hint="eastAsia"/>
                <w:lang w:val="en-US" w:eastAsia="zh-CN"/>
              </w:rPr>
            </w:pPr>
            <w:r>
              <w:rPr>
                <w:rFonts w:hint="eastAsia"/>
                <w:lang w:val="en-US" w:eastAsia="zh-CN"/>
              </w:rPr>
              <w:t>33.41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历史学</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艺术学</w:t>
            </w:r>
          </w:p>
        </w:tc>
        <w:tc>
          <w:tcPr>
            <w:tcW w:w="624" w:type="pct"/>
            <w:vAlign w:val="center"/>
          </w:tcPr>
          <w:p>
            <w:pPr>
              <w:jc w:val="center"/>
              <w:rPr>
                <w:rFonts w:hint="eastAsia"/>
                <w:lang w:val="en-US" w:eastAsia="zh-CN"/>
              </w:rPr>
            </w:pPr>
            <w:r>
              <w:rPr>
                <w:rFonts w:hint="eastAsia"/>
                <w:lang w:val="en-US" w:eastAsia="zh-CN"/>
              </w:rPr>
              <w:t>74.88</w:t>
            </w:r>
          </w:p>
        </w:tc>
        <w:tc>
          <w:tcPr>
            <w:tcW w:w="624" w:type="pct"/>
            <w:vAlign w:val="center"/>
          </w:tcPr>
          <w:p>
            <w:pPr>
              <w:jc w:val="center"/>
              <w:rPr>
                <w:rFonts w:hint="eastAsia"/>
                <w:lang w:val="en-US" w:eastAsia="zh-CN"/>
              </w:rPr>
            </w:pPr>
            <w:r>
              <w:rPr>
                <w:rFonts w:hint="eastAsia"/>
                <w:lang w:val="en-US" w:eastAsia="zh-CN"/>
              </w:rPr>
              <w:t>22.23</w:t>
            </w:r>
          </w:p>
        </w:tc>
        <w:tc>
          <w:tcPr>
            <w:tcW w:w="626" w:type="pct"/>
            <w:vAlign w:val="center"/>
          </w:tcPr>
          <w:p>
            <w:pPr>
              <w:jc w:val="center"/>
              <w:rPr>
                <w:rFonts w:hint="eastAsia"/>
                <w:lang w:val="en-US" w:eastAsia="zh-CN"/>
              </w:rPr>
            </w:pPr>
            <w:r>
              <w:rPr>
                <w:rFonts w:hint="eastAsia"/>
                <w:lang w:val="en-US" w:eastAsia="zh-CN"/>
              </w:rPr>
              <w:t>55.32</w:t>
            </w:r>
          </w:p>
        </w:tc>
      </w:tr>
    </w:tbl>
    <w:p>
      <w:pPr>
        <w:jc w:val="left"/>
      </w:pPr>
      <w:r>
        <w:tab/>
      </w:r>
    </w:p>
    <w:p>
      <w:pPr>
        <w:pStyle w:val="5"/>
        <w:jc w:val="left"/>
      </w:pPr>
      <w:bookmarkStart w:id="28" w:name="_Toc13307"/>
      <w:bookmarkStart w:id="29" w:name="_Toc18975"/>
      <w:r>
        <w:rPr>
          <w:rFonts w:hint="eastAsia" w:ascii="黑体" w:hAnsi="黑体" w:eastAsia="黑体"/>
          <w:sz w:val="28"/>
          <w:szCs w:val="28"/>
        </w:rPr>
        <w:t>（二）课程建设</w:t>
      </w:r>
      <w:bookmarkEnd w:id="28"/>
      <w:bookmarkEnd w:id="29"/>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本学年，</w:t>
      </w:r>
      <w:r>
        <w:rPr>
          <w:rFonts w:hint="eastAsia" w:ascii="宋体" w:hAnsi="宋体" w:eastAsia="宋体" w:cs="宋体"/>
          <w:color w:val="auto"/>
          <w:sz w:val="28"/>
          <w:szCs w:val="28"/>
          <w:lang w:val="en-US" w:eastAsia="zh-CN"/>
        </w:rPr>
        <w:t>学校</w:t>
      </w:r>
      <w:r>
        <w:rPr>
          <w:rFonts w:hint="eastAsia" w:ascii="宋体" w:hAnsi="宋体" w:eastAsia="宋体" w:cs="宋体"/>
          <w:color w:val="auto"/>
          <w:sz w:val="28"/>
          <w:szCs w:val="28"/>
        </w:rPr>
        <w:t>共开设本科生公共必修课、公共选修课、专业课共</w:t>
      </w:r>
      <w:r>
        <w:rPr>
          <w:rFonts w:hint="eastAsia" w:ascii="宋体" w:hAnsi="宋体" w:eastAsia="宋体" w:cs="宋体"/>
          <w:color w:val="auto"/>
          <w:sz w:val="28"/>
          <w:szCs w:val="28"/>
          <w:lang w:val="en-US" w:eastAsia="zh-CN"/>
        </w:rPr>
        <w:t>2078</w:t>
      </w:r>
      <w:r>
        <w:rPr>
          <w:rFonts w:hint="eastAsia" w:ascii="宋体" w:hAnsi="宋体" w:eastAsia="宋体" w:cs="宋体"/>
          <w:color w:val="auto"/>
          <w:sz w:val="28"/>
          <w:szCs w:val="28"/>
        </w:rPr>
        <w:t>门、</w:t>
      </w:r>
      <w:r>
        <w:rPr>
          <w:rFonts w:hint="eastAsia" w:ascii="宋体" w:hAnsi="宋体" w:eastAsia="宋体" w:cs="宋体"/>
          <w:color w:val="auto"/>
          <w:sz w:val="28"/>
          <w:szCs w:val="28"/>
          <w:lang w:val="en-US" w:eastAsia="zh-CN"/>
        </w:rPr>
        <w:t>5218</w:t>
      </w:r>
      <w:r>
        <w:rPr>
          <w:rFonts w:hint="eastAsia" w:ascii="宋体" w:hAnsi="宋体" w:eastAsia="宋体" w:cs="宋体"/>
          <w:color w:val="auto"/>
          <w:sz w:val="28"/>
          <w:szCs w:val="28"/>
        </w:rPr>
        <w:t>门次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已建</w:t>
      </w:r>
      <w:r>
        <w:rPr>
          <w:rFonts w:hint="eastAsia" w:ascii="宋体" w:hAnsi="宋体" w:eastAsia="宋体" w:cs="宋体"/>
          <w:color w:val="auto"/>
          <w:sz w:val="28"/>
          <w:szCs w:val="28"/>
          <w:lang w:val="en-US" w:eastAsia="zh-CN"/>
        </w:rPr>
        <w:t>成</w:t>
      </w:r>
      <w:r>
        <w:rPr>
          <w:rFonts w:hint="eastAsia" w:ascii="宋体" w:hAnsi="宋体" w:eastAsia="宋体" w:cs="宋体"/>
          <w:color w:val="auto"/>
          <w:sz w:val="28"/>
          <w:szCs w:val="28"/>
        </w:rPr>
        <w:t>MOOC课程</w:t>
      </w:r>
      <w:r>
        <w:rPr>
          <w:rFonts w:hint="eastAsia" w:ascii="宋体" w:hAnsi="宋体" w:eastAsia="宋体" w:cs="宋体"/>
          <w:color w:val="auto"/>
          <w:sz w:val="28"/>
          <w:szCs w:val="28"/>
          <w:lang w:val="en-US" w:eastAsia="zh-CN"/>
        </w:rPr>
        <w:t>146</w:t>
      </w:r>
      <w:r>
        <w:rPr>
          <w:rFonts w:hint="eastAsia" w:ascii="宋体" w:hAnsi="宋体" w:eastAsia="宋体" w:cs="宋体"/>
          <w:color w:val="auto"/>
          <w:sz w:val="28"/>
          <w:szCs w:val="28"/>
        </w:rPr>
        <w:t>门，SPOC课程</w:t>
      </w:r>
      <w:r>
        <w:rPr>
          <w:rFonts w:hint="eastAsia" w:ascii="宋体" w:hAnsi="宋体" w:eastAsia="宋体" w:cs="宋体"/>
          <w:color w:val="auto"/>
          <w:sz w:val="28"/>
          <w:szCs w:val="28"/>
          <w:lang w:val="en-US" w:eastAsia="zh-CN"/>
        </w:rPr>
        <w:t>454</w:t>
      </w:r>
      <w:r>
        <w:rPr>
          <w:rFonts w:hint="eastAsia" w:ascii="宋体" w:hAnsi="宋体" w:eastAsia="宋体" w:cs="宋体"/>
          <w:color w:val="auto"/>
          <w:sz w:val="28"/>
          <w:szCs w:val="28"/>
        </w:rPr>
        <w:t>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3门课程获评国家级一流课程。</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是优化课程体系建设。根据人才培养目标和培养要求，科学设置课程模块及学分要求，构建由“通识教育课程、学科基础课程、专业与专业方向课程、创新创业教育课程、集中实践教学环节”组成的五位一体课程体系。对应师范类专业认证要求，</w:t>
      </w:r>
      <w:r>
        <w:rPr>
          <w:rFonts w:hint="eastAsia" w:ascii="宋体" w:hAnsi="宋体" w:eastAsia="宋体" w:cs="宋体"/>
          <w:color w:val="auto"/>
          <w:sz w:val="28"/>
          <w:szCs w:val="28"/>
          <w:lang w:val="en-US" w:eastAsia="zh-CN"/>
        </w:rPr>
        <w:t>将</w:t>
      </w:r>
      <w:r>
        <w:rPr>
          <w:rFonts w:hint="eastAsia" w:ascii="宋体" w:hAnsi="宋体" w:eastAsia="宋体" w:cs="宋体"/>
          <w:color w:val="auto"/>
          <w:sz w:val="28"/>
          <w:szCs w:val="28"/>
        </w:rPr>
        <w:t>职业技能必修课程调整为职业技能教师教育课程，实现了课程开设“精准、实用”</w:t>
      </w:r>
      <w:r>
        <w:rPr>
          <w:rFonts w:hint="eastAsia" w:ascii="宋体" w:hAnsi="宋体" w:eastAsia="宋体" w:cs="宋体"/>
          <w:color w:val="auto"/>
          <w:sz w:val="28"/>
          <w:szCs w:val="28"/>
          <w:lang w:val="en-US" w:eastAsia="zh-CN"/>
        </w:rPr>
        <w:t>目标</w:t>
      </w:r>
      <w:r>
        <w:rPr>
          <w:rFonts w:hint="eastAsia" w:ascii="宋体" w:hAnsi="宋体" w:eastAsia="宋体" w:cs="宋体"/>
          <w:color w:val="auto"/>
          <w:sz w:val="28"/>
          <w:szCs w:val="28"/>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二是加大课程建设</w:t>
      </w:r>
      <w:r>
        <w:rPr>
          <w:rFonts w:hint="eastAsia" w:ascii="宋体" w:hAnsi="宋体" w:eastAsia="宋体" w:cs="宋体"/>
          <w:color w:val="auto"/>
          <w:sz w:val="28"/>
          <w:szCs w:val="28"/>
          <w:lang w:val="en-US" w:eastAsia="zh-CN"/>
        </w:rPr>
        <w:t>投入</w:t>
      </w:r>
      <w:r>
        <w:rPr>
          <w:rFonts w:hint="eastAsia" w:ascii="宋体" w:hAnsi="宋体" w:eastAsia="宋体" w:cs="宋体"/>
          <w:color w:val="auto"/>
          <w:sz w:val="28"/>
          <w:szCs w:val="28"/>
        </w:rPr>
        <w:t>力度。与超星课程平台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学银在线合作，为我校精品在线开放课程提供平台支持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年度我校《数字电路》、《生物化学》、《永州旅游文化》、《英语语言学导论》、《声乐基础（二）》、《数据库原理》、《二维动画设计》、《混凝土与砌体结构设计》、《思想道德修养与法律基础》、《建筑漫游》、《现代教育技术与应用》、《创业基础》等12门课程认定为省级三类一流课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《混凝土结构设计》《光学》2门课程入选省级精品在线开放课程</w:t>
      </w:r>
      <w:r>
        <w:rPr>
          <w:rFonts w:hint="eastAsia" w:ascii="宋体" w:hAnsi="宋体" w:eastAsia="宋体" w:cs="宋体"/>
          <w:color w:val="auto"/>
          <w:sz w:val="28"/>
          <w:szCs w:val="28"/>
          <w:lang w:eastAsia="zh-CN"/>
        </w:rPr>
        <w:t>选题</w:t>
      </w:r>
      <w:r>
        <w:rPr>
          <w:rFonts w:hint="eastAsia" w:ascii="宋体" w:hAnsi="宋体" w:eastAsia="宋体" w:cs="宋体"/>
          <w:color w:val="auto"/>
          <w:sz w:val="28"/>
          <w:szCs w:val="28"/>
        </w:rPr>
        <w:t>；立项校级三类一流课程32门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校级研讨式课程6门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立项校级精品在线开放课程30门。</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三是加快一流课程建设。我校积极响应教育部一流课程建设“双万计划”，制定课程建设规划，加快一流课程建设，分批分类建设一流课程，目前共建设校级精品在线开放课程60门，认定校级“三类一流课程”32门，其中线下一流课程17门，线上线下混合式课程13门，社会实践一流课程2门。省级精品在线开放课程4门，省级“三类一流”课程12门</w:t>
      </w:r>
      <w:r>
        <w:rPr>
          <w:rFonts w:hint="eastAsia" w:ascii="宋体" w:hAnsi="宋体" w:eastAsia="宋体" w:cs="宋体"/>
          <w:color w:val="auto"/>
          <w:sz w:val="28"/>
          <w:szCs w:val="28"/>
          <w:lang w:eastAsia="zh-CN"/>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四是加强校级建设课程检查验收。本年度组织专家组对2019年之前立项的研讨式课程分现场听课和网络资源建设两个环节进行验收检查，11门课程顺利通过验收；组织专家对2019年之前立项的研讨式课程进行检查验收，19门</w:t>
      </w:r>
      <w:r>
        <w:rPr>
          <w:rFonts w:hint="eastAsia" w:ascii="宋体" w:hAnsi="宋体" w:eastAsia="宋体" w:cs="宋体"/>
          <w:color w:val="auto"/>
          <w:sz w:val="28"/>
          <w:szCs w:val="28"/>
          <w:lang w:val="en-US" w:eastAsia="zh-CN"/>
        </w:rPr>
        <w:t>课程</w:t>
      </w:r>
      <w:r>
        <w:rPr>
          <w:rFonts w:hint="eastAsia" w:ascii="宋体" w:hAnsi="宋体" w:eastAsia="宋体" w:cs="宋体"/>
          <w:color w:val="auto"/>
          <w:sz w:val="28"/>
          <w:szCs w:val="28"/>
        </w:rPr>
        <w:t>顺利通过验收。</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是积极缩小课程开设班额，提高课程开设质量。近两学年班额统计情况详见表7。</w:t>
      </w:r>
    </w:p>
    <w:p>
      <w:pPr>
        <w:jc w:val="center"/>
        <w:rPr>
          <w:rFonts w:hint="eastAsia" w:ascii="宋体" w:hAnsi="宋体" w:eastAsia="宋体"/>
          <w:color w:val="auto"/>
          <w:sz w:val="24"/>
          <w:szCs w:val="24"/>
        </w:rPr>
      </w:pPr>
      <w:r>
        <w:rPr>
          <w:rFonts w:hint="eastAsia" w:ascii="宋体" w:hAnsi="宋体" w:eastAsia="宋体"/>
          <w:color w:val="auto"/>
          <w:sz w:val="24"/>
          <w:szCs w:val="24"/>
        </w:rPr>
        <w:t>表7  近两学年班额统计情况</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2"/>
        <w:gridCol w:w="1037"/>
        <w:gridCol w:w="1783"/>
        <w:gridCol w:w="2150"/>
        <w:gridCol w:w="21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822" w:type="pct"/>
            <w:vAlign w:val="center"/>
          </w:tcPr>
          <w:p>
            <w:pPr>
              <w:jc w:val="center"/>
            </w:pPr>
            <w:r>
              <w:rPr>
                <w:rFonts w:hint="eastAsia" w:ascii="宋体" w:hAnsi="宋体" w:eastAsia="宋体"/>
                <w:b/>
                <w:sz w:val="21"/>
                <w:szCs w:val="21"/>
              </w:rPr>
              <w:t>班额</w:t>
            </w:r>
          </w:p>
        </w:tc>
        <w:tc>
          <w:tcPr>
            <w:tcW w:w="608" w:type="pct"/>
            <w:vAlign w:val="center"/>
          </w:tcPr>
          <w:p>
            <w:pPr>
              <w:jc w:val="center"/>
            </w:pPr>
            <w:r>
              <w:rPr>
                <w:rFonts w:hint="eastAsia" w:ascii="宋体" w:hAnsi="宋体" w:eastAsia="宋体"/>
                <w:b/>
                <w:sz w:val="21"/>
                <w:szCs w:val="21"/>
              </w:rPr>
              <w:t>学年</w:t>
            </w:r>
          </w:p>
        </w:tc>
        <w:tc>
          <w:tcPr>
            <w:tcW w:w="1046" w:type="pct"/>
            <w:vAlign w:val="center"/>
          </w:tcPr>
          <w:p>
            <w:pPr>
              <w:jc w:val="center"/>
            </w:pPr>
            <w:r>
              <w:rPr>
                <w:rFonts w:hint="eastAsia" w:ascii="宋体" w:hAnsi="宋体" w:eastAsia="宋体"/>
                <w:b/>
                <w:sz w:val="21"/>
                <w:szCs w:val="21"/>
              </w:rPr>
              <w:t>公共必修课（%）</w:t>
            </w:r>
          </w:p>
        </w:tc>
        <w:tc>
          <w:tcPr>
            <w:tcW w:w="1261" w:type="pct"/>
            <w:vAlign w:val="center"/>
          </w:tcPr>
          <w:p>
            <w:pPr>
              <w:jc w:val="center"/>
            </w:pPr>
            <w:r>
              <w:rPr>
                <w:rFonts w:hint="eastAsia" w:ascii="宋体" w:hAnsi="宋体" w:eastAsia="宋体"/>
                <w:b/>
                <w:sz w:val="21"/>
                <w:szCs w:val="21"/>
              </w:rPr>
              <w:t>公共选修课（%）</w:t>
            </w:r>
          </w:p>
        </w:tc>
        <w:tc>
          <w:tcPr>
            <w:tcW w:w="1261" w:type="pct"/>
            <w:vAlign w:val="center"/>
          </w:tcPr>
          <w:p>
            <w:pPr>
              <w:jc w:val="center"/>
            </w:pPr>
            <w:r>
              <w:rPr>
                <w:rFonts w:hint="eastAsia" w:ascii="宋体" w:hAnsi="宋体" w:eastAsia="宋体"/>
                <w:b/>
                <w:sz w:val="21"/>
                <w:szCs w:val="21"/>
              </w:rPr>
              <w:t>专业课（%）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30人及以下</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4.43</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27.54</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26.07</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ind w:firstLine="420" w:firstLineChars="200"/>
              <w:jc w:val="both"/>
            </w:pPr>
            <w:r>
              <w:rPr>
                <w:rFonts w:hint="eastAsia" w:ascii="宋体" w:hAnsi="宋体" w:eastAsia="宋体"/>
                <w:sz w:val="21"/>
                <w:szCs w:val="21"/>
                <w:lang w:val="en-US" w:eastAsia="zh-CN"/>
              </w:rPr>
              <w:t>4.53</w:t>
            </w:r>
          </w:p>
        </w:tc>
        <w:tc>
          <w:tcPr>
            <w:tcW w:w="1261" w:type="pct"/>
            <w:vAlign w:val="center"/>
          </w:tcPr>
          <w:p>
            <w:pPr>
              <w:jc w:val="center"/>
            </w:pPr>
            <w:r>
              <w:rPr>
                <w:rFonts w:hint="eastAsia" w:ascii="宋体" w:hAnsi="宋体" w:eastAsia="宋体"/>
                <w:sz w:val="21"/>
                <w:szCs w:val="21"/>
                <w:lang w:val="en-US" w:eastAsia="zh-CN"/>
              </w:rPr>
              <w:t>19.70</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25.03</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31-60人</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54.91</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33.33</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55.53</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jc w:val="center"/>
            </w:pPr>
            <w:r>
              <w:rPr>
                <w:rFonts w:hint="eastAsia" w:ascii="宋体" w:hAnsi="宋体" w:eastAsia="宋体"/>
                <w:sz w:val="21"/>
                <w:szCs w:val="21"/>
                <w:lang w:val="en-US" w:eastAsia="zh-CN"/>
              </w:rPr>
              <w:t>49.30</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33.33</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57.65</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61-90人</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25.88</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21.74</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15.96</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jc w:val="center"/>
            </w:pPr>
            <w:r>
              <w:rPr>
                <w:rFonts w:hint="eastAsia" w:ascii="宋体" w:hAnsi="宋体" w:eastAsia="宋体"/>
                <w:sz w:val="21"/>
                <w:szCs w:val="21"/>
                <w:lang w:val="en-US" w:eastAsia="zh-CN"/>
              </w:rPr>
              <w:t>30.10</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31.82</w:t>
            </w:r>
            <w:r>
              <w:rPr>
                <w:rFonts w:hint="eastAsia" w:ascii="宋体" w:hAnsi="宋体" w:eastAsia="宋体"/>
                <w:sz w:val="21"/>
                <w:szCs w:val="21"/>
              </w:rPr>
              <w:t>
</w:t>
            </w:r>
          </w:p>
        </w:tc>
        <w:tc>
          <w:tcPr>
            <w:tcW w:w="1261" w:type="pct"/>
            <w:vAlign w:val="center"/>
          </w:tcPr>
          <w:p>
            <w:pPr>
              <w:ind w:firstLine="630" w:firstLineChars="300"/>
              <w:jc w:val="both"/>
              <w:rPr>
                <w:rFonts w:hint="default"/>
                <w:lang w:val="en-US"/>
              </w:rPr>
            </w:pPr>
            <w:r>
              <w:rPr>
                <w:rFonts w:hint="eastAsia" w:ascii="宋体" w:hAnsi="宋体" w:eastAsia="宋体"/>
                <w:sz w:val="21"/>
                <w:szCs w:val="21"/>
                <w:lang w:val="en-US" w:eastAsia="zh-CN"/>
              </w:rPr>
              <w:t>14.77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90人以上</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14.78</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17.39</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2.44</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jc w:val="center"/>
            </w:pPr>
            <w:r>
              <w:rPr>
                <w:rFonts w:hint="eastAsia" w:ascii="宋体" w:hAnsi="宋体" w:eastAsia="宋体"/>
                <w:sz w:val="21"/>
                <w:szCs w:val="21"/>
                <w:lang w:val="en-US" w:eastAsia="zh-CN"/>
              </w:rPr>
              <w:t>16.07</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15.15</w:t>
            </w:r>
            <w:r>
              <w:rPr>
                <w:rFonts w:hint="eastAsia" w:ascii="宋体" w:hAnsi="宋体" w:eastAsia="宋体"/>
                <w:sz w:val="21"/>
                <w:szCs w:val="21"/>
              </w:rPr>
              <w:t>
</w:t>
            </w:r>
          </w:p>
        </w:tc>
        <w:tc>
          <w:tcPr>
            <w:tcW w:w="1261" w:type="pct"/>
            <w:vAlign w:val="center"/>
          </w:tcPr>
          <w:p>
            <w:pPr>
              <w:ind w:firstLine="630" w:firstLineChars="300"/>
              <w:jc w:val="both"/>
              <w:rPr>
                <w:rFonts w:hint="default"/>
                <w:lang w:val="en-US"/>
              </w:rPr>
            </w:pPr>
            <w:r>
              <w:rPr>
                <w:rFonts w:hint="eastAsia" w:ascii="宋体" w:hAnsi="宋体" w:eastAsia="宋体"/>
                <w:sz w:val="21"/>
                <w:szCs w:val="21"/>
                <w:lang w:val="en-US" w:eastAsia="zh-CN"/>
              </w:rPr>
              <w:t>2.55</w:t>
            </w:r>
          </w:p>
        </w:tc>
      </w:tr>
    </w:tbl>
    <w:p>
      <w:pPr>
        <w:jc w:val="left"/>
      </w:pPr>
      <w:r>
        <w:tab/>
      </w:r>
    </w:p>
    <w:p>
      <w:pPr>
        <w:pStyle w:val="5"/>
        <w:jc w:val="left"/>
      </w:pPr>
      <w:bookmarkStart w:id="30" w:name="_Toc4967"/>
      <w:bookmarkStart w:id="31" w:name="_Toc2040"/>
      <w:r>
        <w:rPr>
          <w:rFonts w:hint="eastAsia" w:ascii="黑体" w:hAnsi="黑体" w:eastAsia="黑体"/>
          <w:sz w:val="28"/>
          <w:szCs w:val="28"/>
        </w:rPr>
        <w:t>（三）教材建设</w:t>
      </w:r>
      <w:bookmarkEnd w:id="30"/>
      <w:bookmarkEnd w:id="31"/>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鼓励教师编写教材。鼓励和支持教师根据应用型人才培养需要，编写富有特色、应用型的课程教材和实验实训讲义，2019年，教师公开出版教材6部，其中省部级规划教材4部，编写实验实训讲义8部。组织相应课程教师参加“马工程”教材集中培训和在线培训，全年培训教师6人次。</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规范教材选用。实行教师推荐、系部讨论、院领导审核、学校教指委审定的教材选用程序；遵循先进性、适用性和优选性教材选用原则，优先选用获奖教材、规划教材，优先选用权威出版社、权威编写人员编写的经典教材，优先选用新版教材、应用型教材，确保“马工程”重点教材100%使用。本学年度，学校选用教材670余种，其中国家级规划教材、教育部各学科专业教学指导委员会推荐教材、省部级以上获奖教材以及“马工程” 重点教材近250种。</w:t>
      </w:r>
    </w:p>
    <w:p>
      <w:pPr>
        <w:jc w:val="left"/>
      </w:pPr>
      <w:r>
        <w:tab/>
      </w:r>
    </w:p>
    <w:p>
      <w:pPr>
        <w:pStyle w:val="5"/>
        <w:jc w:val="left"/>
      </w:pPr>
      <w:bookmarkStart w:id="32" w:name="_Toc28499"/>
      <w:bookmarkStart w:id="33" w:name="_Toc15347"/>
      <w:r>
        <w:rPr>
          <w:rFonts w:hint="eastAsia" w:ascii="黑体" w:hAnsi="黑体" w:eastAsia="黑体"/>
          <w:sz w:val="28"/>
          <w:szCs w:val="28"/>
        </w:rPr>
        <w:t>（四）实践教学</w:t>
      </w:r>
      <w:bookmarkEnd w:id="32"/>
      <w:bookmarkEnd w:id="33"/>
    </w:p>
    <w:p>
      <w:pPr>
        <w:pStyle w:val="6"/>
        <w:jc w:val="left"/>
      </w:pPr>
      <w:bookmarkStart w:id="34" w:name="_Toc11668"/>
      <w:r>
        <w:rPr>
          <w:rFonts w:hint="eastAsia" w:ascii="黑体" w:hAnsi="黑体" w:eastAsia="黑体"/>
          <w:sz w:val="24"/>
          <w:szCs w:val="24"/>
        </w:rPr>
        <w:t>1.实验教学</w:t>
      </w:r>
      <w:bookmarkEnd w:id="34"/>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本学年</w:t>
      </w:r>
      <w:r>
        <w:rPr>
          <w:rFonts w:hint="eastAsia" w:ascii="宋体" w:hAnsi="宋体" w:eastAsia="宋体" w:cs="宋体"/>
          <w:color w:val="auto"/>
          <w:sz w:val="28"/>
          <w:szCs w:val="28"/>
          <w:lang w:val="en-US" w:eastAsia="zh-CN"/>
        </w:rPr>
        <w:t>度，</w:t>
      </w:r>
      <w:r>
        <w:rPr>
          <w:rFonts w:hint="eastAsia" w:ascii="宋体" w:hAnsi="宋体" w:eastAsia="宋体" w:cs="宋体"/>
          <w:color w:val="auto"/>
          <w:sz w:val="28"/>
          <w:szCs w:val="28"/>
        </w:rPr>
        <w:t>本科生开设实验的专业课程共计</w:t>
      </w:r>
      <w:r>
        <w:rPr>
          <w:rFonts w:hint="eastAsia" w:ascii="宋体" w:hAnsi="宋体" w:eastAsia="宋体" w:cs="宋体"/>
          <w:color w:val="auto"/>
          <w:sz w:val="28"/>
          <w:szCs w:val="28"/>
          <w:lang w:val="en-US" w:eastAsia="zh-CN"/>
        </w:rPr>
        <w:t>712</w:t>
      </w:r>
      <w:r>
        <w:rPr>
          <w:rFonts w:hint="eastAsia" w:ascii="宋体" w:hAnsi="宋体" w:eastAsia="宋体" w:cs="宋体"/>
          <w:color w:val="auto"/>
          <w:sz w:val="28"/>
          <w:szCs w:val="28"/>
        </w:rPr>
        <w:t>门，其中独立设置的专业实验课程</w:t>
      </w:r>
      <w:r>
        <w:rPr>
          <w:rFonts w:hint="eastAsia" w:ascii="宋体" w:hAnsi="宋体" w:eastAsia="宋体" w:cs="宋体"/>
          <w:color w:val="auto"/>
          <w:sz w:val="28"/>
          <w:szCs w:val="28"/>
          <w:lang w:val="en-US" w:eastAsia="zh-CN"/>
        </w:rPr>
        <w:t>124</w:t>
      </w:r>
      <w:r>
        <w:rPr>
          <w:rFonts w:hint="eastAsia" w:ascii="宋体" w:hAnsi="宋体" w:eastAsia="宋体" w:cs="宋体"/>
          <w:color w:val="auto"/>
          <w:sz w:val="28"/>
          <w:szCs w:val="28"/>
        </w:rPr>
        <w:t>门。学校有实验技术人员</w:t>
      </w:r>
      <w:r>
        <w:rPr>
          <w:rFonts w:hint="eastAsia" w:ascii="宋体" w:hAnsi="宋体" w:eastAsia="宋体" w:cs="宋体"/>
          <w:color w:val="auto"/>
          <w:sz w:val="28"/>
          <w:szCs w:val="28"/>
          <w:lang w:val="en-US" w:eastAsia="zh-CN"/>
        </w:rPr>
        <w:t>48</w:t>
      </w:r>
      <w:r>
        <w:rPr>
          <w:rFonts w:hint="eastAsia" w:ascii="宋体" w:hAnsi="宋体" w:eastAsia="宋体" w:cs="宋体"/>
          <w:color w:val="auto"/>
          <w:sz w:val="28"/>
          <w:szCs w:val="28"/>
        </w:rPr>
        <w:t>人，具有高级职称</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人，所占比例为</w:t>
      </w:r>
      <w:r>
        <w:rPr>
          <w:rFonts w:hint="eastAsia" w:ascii="宋体" w:hAnsi="宋体" w:eastAsia="宋体" w:cs="宋体"/>
          <w:color w:val="auto"/>
          <w:sz w:val="28"/>
          <w:szCs w:val="28"/>
          <w:lang w:val="en-US" w:eastAsia="zh-CN"/>
        </w:rPr>
        <w:t>18.75</w:t>
      </w:r>
      <w:r>
        <w:rPr>
          <w:rFonts w:hint="eastAsia" w:ascii="宋体" w:hAnsi="宋体" w:eastAsia="宋体" w:cs="宋体"/>
          <w:color w:val="auto"/>
          <w:sz w:val="28"/>
          <w:szCs w:val="28"/>
        </w:rPr>
        <w:t>%，具有硕士及以上学位</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人，所占比例为</w:t>
      </w:r>
      <w:r>
        <w:rPr>
          <w:rFonts w:hint="eastAsia" w:ascii="宋体" w:hAnsi="宋体" w:eastAsia="宋体" w:cs="宋体"/>
          <w:color w:val="auto"/>
          <w:sz w:val="28"/>
          <w:szCs w:val="28"/>
          <w:lang w:val="en-US" w:eastAsia="zh-CN"/>
        </w:rPr>
        <w:t>52.08</w:t>
      </w:r>
      <w:r>
        <w:rPr>
          <w:rFonts w:hint="eastAsia" w:ascii="宋体" w:hAnsi="宋体" w:eastAsia="宋体" w:cs="宋体"/>
          <w:color w:val="auto"/>
          <w:sz w:val="28"/>
          <w:szCs w:val="28"/>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w:t>
      </w:r>
      <w:r>
        <w:rPr>
          <w:rFonts w:hint="eastAsia" w:ascii="宋体" w:hAnsi="宋体" w:eastAsia="宋体" w:cs="宋体"/>
          <w:color w:val="auto"/>
          <w:sz w:val="28"/>
          <w:szCs w:val="28"/>
          <w:lang w:val="en-US" w:eastAsia="zh-CN"/>
        </w:rPr>
        <w:t>持续</w:t>
      </w:r>
      <w:r>
        <w:rPr>
          <w:rFonts w:hint="eastAsia" w:ascii="宋体" w:hAnsi="宋体" w:eastAsia="宋体" w:cs="宋体"/>
          <w:color w:val="auto"/>
          <w:sz w:val="28"/>
          <w:szCs w:val="28"/>
        </w:rPr>
        <w:t>加大实验教学投入，</w:t>
      </w:r>
      <w:r>
        <w:rPr>
          <w:rFonts w:hint="eastAsia" w:ascii="宋体" w:hAnsi="宋体" w:eastAsia="宋体" w:cs="宋体"/>
          <w:color w:val="auto"/>
          <w:sz w:val="28"/>
          <w:szCs w:val="28"/>
          <w:lang w:val="en-US" w:eastAsia="zh-CN"/>
        </w:rPr>
        <w:t>实验实训教学得到有效提升</w:t>
      </w:r>
      <w:r>
        <w:rPr>
          <w:rFonts w:hint="eastAsia" w:ascii="宋体" w:hAnsi="宋体" w:eastAsia="宋体" w:cs="宋体"/>
          <w:color w:val="auto"/>
          <w:sz w:val="28"/>
          <w:szCs w:val="28"/>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一是</w:t>
      </w:r>
      <w:r>
        <w:rPr>
          <w:rFonts w:hint="eastAsia" w:ascii="宋体" w:hAnsi="宋体" w:eastAsia="宋体" w:cs="宋体"/>
          <w:color w:val="auto"/>
          <w:sz w:val="28"/>
          <w:szCs w:val="28"/>
          <w:lang w:val="en-US" w:eastAsia="zh-CN"/>
        </w:rPr>
        <w:t>推进</w:t>
      </w:r>
      <w:r>
        <w:rPr>
          <w:rFonts w:hint="eastAsia" w:ascii="宋体" w:hAnsi="宋体" w:eastAsia="宋体" w:cs="宋体"/>
          <w:color w:val="auto"/>
          <w:sz w:val="28"/>
          <w:szCs w:val="28"/>
        </w:rPr>
        <w:t>实验</w:t>
      </w:r>
      <w:r>
        <w:rPr>
          <w:rFonts w:hint="eastAsia" w:ascii="宋体" w:hAnsi="宋体" w:eastAsia="宋体" w:cs="宋体"/>
          <w:color w:val="auto"/>
          <w:sz w:val="28"/>
          <w:szCs w:val="28"/>
          <w:lang w:val="en-US" w:eastAsia="zh-CN"/>
        </w:rPr>
        <w:t>条件建设</w:t>
      </w:r>
      <w:r>
        <w:rPr>
          <w:rFonts w:hint="eastAsia" w:ascii="宋体" w:hAnsi="宋体" w:eastAsia="宋体" w:cs="宋体"/>
          <w:color w:val="auto"/>
          <w:sz w:val="28"/>
          <w:szCs w:val="28"/>
        </w:rPr>
        <w:t>。组织完成中央财政支持地方高校发展资金2018-2020年滚动规划，2019年中央财政支持地方高校改革发展资金项目申报工作，获得中央财政1700万元资助，组织相关教学学院开展2019年项目考察调研、设备计划编制和项目论证会。新增仪器设备1934万元，计2559台套件；投入1000万元建设“数字媒体开发应用实验室”、“植物提取与综合利用实验室”等7个实验室或实验实践平台。推进建筑面积为9354平方米的工程训练中心建设，完成工程项目招标工作。</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二是完善实验教学管理制度。按照应用型人才培养要求，严格按照《湖南科技学院实验教学规程》、《湖南科技学院实验（实训）教学质量标准》等组织实施实验实训教学；根据《湖南科技学院实验（实训）教学比赛实施办法》、《湖南科技学院自编实验（实训）教材管理办法》、《湖南科技学院综合性设计性实验管理办法》、《湖南科技学院实验室开放管理办法》、《学生实验报告撰写与批改规范》、《湖南科技学院实验实训耗材管理办法》等严格执行实验实训教学管理，规范实验实验实训教学运行。</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三是提升实践教学水平。成功举办第四届全校实验实训教学比赛，提升实验实训教师教学水平和教学质量；鼓励实验教师编写优势特色实验实训教材，组织完成了20部实验（实训）自编讲义、教材的审核编印工作；增加综合性、设计性、创新性实验比例，加大了实验室开放力度，组织完成了440项综合性、设计性、创新性实验的申报、评审与验收工作，比上一年度增加31%，理工科综合性、设计性实验占实验项目比例达到64%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开放性实验室项目立项116项。大力推行湖南省大学生创新创业训练计划项目，其中，获国家教育部立项16项，省级立项47项。</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四是开展实验实训教学交流和培训。组织教师参观考察省内外有关高校实验室建设和实验实训教学；邀请省内外有关专家来校指导工作，组织全校60多名实验技术人员参加长沙2020年全国高教仪器展示博览会，</w:t>
      </w:r>
      <w:r>
        <w:rPr>
          <w:rFonts w:hint="eastAsia" w:ascii="宋体" w:hAnsi="宋体" w:eastAsia="宋体" w:cs="宋体"/>
          <w:color w:val="auto"/>
          <w:sz w:val="28"/>
          <w:szCs w:val="28"/>
          <w:lang w:val="en-US" w:eastAsia="zh-CN"/>
        </w:rPr>
        <w:t>荣</w:t>
      </w:r>
      <w:r>
        <w:rPr>
          <w:rFonts w:hint="eastAsia" w:ascii="宋体" w:hAnsi="宋体" w:eastAsia="宋体" w:cs="宋体"/>
          <w:color w:val="auto"/>
          <w:sz w:val="28"/>
          <w:szCs w:val="28"/>
        </w:rPr>
        <w:t>获优秀组织奖。</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五是加强实验室安全建设与管理。学校和教学学院分别成立了实验室安全建设工作领导小组，进一步明确了责任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按规定配备了消防设施、用电安全设施、通风排风设施、防盗设施等，相关实验室还配备了消毒洁净设施、废弃物处理、防爆设施等。组织13个教学学院进行实验实训教学专项检查，并将检查结果与年度目标管理和年终绩效挂钩。对进校新生印发了《实验室安全手册》，签订《实验室安全承诺书》，明确了出入实验场所相关要求。实验室管理人员熟悉所管所用物品的性能、用途和安全管理知识，能有效保证物品的正确使用和安全管理。</w:t>
      </w:r>
    </w:p>
    <w:p>
      <w:pPr>
        <w:pStyle w:val="6"/>
        <w:jc w:val="left"/>
      </w:pPr>
      <w:bookmarkStart w:id="35" w:name="_Toc28048"/>
      <w:r>
        <w:rPr>
          <w:rFonts w:hint="eastAsia" w:ascii="黑体" w:hAnsi="黑体" w:eastAsia="黑体"/>
          <w:sz w:val="24"/>
          <w:szCs w:val="24"/>
        </w:rPr>
        <w:t>2.本科生毕业设计（论文）</w:t>
      </w:r>
      <w:bookmarkEnd w:id="35"/>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本学年共提供了</w:t>
      </w:r>
      <w:r>
        <w:rPr>
          <w:rFonts w:hint="eastAsia" w:ascii="宋体" w:hAnsi="宋体" w:eastAsia="宋体" w:cs="宋体"/>
          <w:color w:val="auto"/>
          <w:sz w:val="28"/>
          <w:szCs w:val="28"/>
          <w:lang w:val="en-US" w:eastAsia="zh-CN"/>
        </w:rPr>
        <w:t>3625</w:t>
      </w:r>
      <w:r>
        <w:rPr>
          <w:rFonts w:hint="eastAsia" w:ascii="宋体" w:hAnsi="宋体" w:eastAsia="宋体" w:cs="宋体"/>
          <w:color w:val="auto"/>
          <w:sz w:val="28"/>
          <w:szCs w:val="28"/>
        </w:rPr>
        <w:t>个选题供学生选做毕业设计（论文）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共有</w:t>
      </w:r>
      <w:r>
        <w:rPr>
          <w:rFonts w:hint="eastAsia" w:ascii="宋体" w:hAnsi="宋体" w:eastAsia="宋体" w:cs="宋体"/>
          <w:color w:val="auto"/>
          <w:sz w:val="28"/>
          <w:szCs w:val="28"/>
          <w:lang w:val="en-US" w:eastAsia="zh-CN"/>
        </w:rPr>
        <w:t>551</w:t>
      </w:r>
      <w:r>
        <w:rPr>
          <w:rFonts w:hint="eastAsia" w:ascii="宋体" w:hAnsi="宋体" w:eastAsia="宋体" w:cs="宋体"/>
          <w:color w:val="auto"/>
          <w:sz w:val="28"/>
          <w:szCs w:val="28"/>
        </w:rPr>
        <w:t>名教师参与了本科生毕业设计（论文）的指导工作，指导教师具有副高级以上职称的人数比例约占</w:t>
      </w:r>
      <w:r>
        <w:rPr>
          <w:rFonts w:hint="eastAsia" w:ascii="宋体" w:hAnsi="宋体" w:eastAsia="宋体" w:cs="宋体"/>
          <w:color w:val="auto"/>
          <w:sz w:val="28"/>
          <w:szCs w:val="28"/>
          <w:lang w:val="en-US" w:eastAsia="zh-CN"/>
        </w:rPr>
        <w:t>44.28</w:t>
      </w:r>
      <w:r>
        <w:rPr>
          <w:rFonts w:hint="eastAsia" w:ascii="宋体" w:hAnsi="宋体" w:eastAsia="宋体" w:cs="宋体"/>
          <w:color w:val="auto"/>
          <w:sz w:val="28"/>
          <w:szCs w:val="28"/>
        </w:rPr>
        <w:t>%，学校还聘请了</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位外聘教师担任指导老师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平均每位教师指导学生人数为</w:t>
      </w:r>
      <w:r>
        <w:rPr>
          <w:rFonts w:hint="eastAsia" w:ascii="宋体" w:hAnsi="宋体" w:eastAsia="宋体" w:cs="宋体"/>
          <w:color w:val="auto"/>
          <w:sz w:val="28"/>
          <w:szCs w:val="28"/>
          <w:lang w:val="en-US" w:eastAsia="zh-CN"/>
        </w:rPr>
        <w:t>6.52</w:t>
      </w:r>
      <w:r>
        <w:rPr>
          <w:rFonts w:hint="eastAsia" w:ascii="宋体" w:hAnsi="宋体" w:eastAsia="宋体" w:cs="宋体"/>
          <w:color w:val="auto"/>
          <w:sz w:val="28"/>
          <w:szCs w:val="28"/>
        </w:rPr>
        <w:t>人。</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学校加强应用型人才培养，</w:t>
      </w:r>
      <w:r>
        <w:rPr>
          <w:rFonts w:hint="eastAsia" w:ascii="宋体" w:hAnsi="宋体" w:eastAsia="宋体" w:cs="宋体"/>
          <w:color w:val="auto"/>
          <w:sz w:val="28"/>
          <w:szCs w:val="28"/>
        </w:rPr>
        <w:t>完善</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各专业实训、实践教学、毕业论文（设计）管理体系和制度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鼓励学生将所学知识和社会实践联系起来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不断丰富毕业论文写作形式</w:t>
      </w:r>
      <w:r>
        <w:rPr>
          <w:rFonts w:hint="eastAsia" w:ascii="宋体" w:hAnsi="宋体" w:eastAsia="宋体" w:cs="宋体"/>
          <w:color w:val="auto"/>
          <w:sz w:val="28"/>
          <w:szCs w:val="28"/>
          <w:lang w:val="en-US" w:eastAsia="zh-CN"/>
        </w:rPr>
        <w:t>和内容</w:t>
      </w:r>
      <w:r>
        <w:rPr>
          <w:rFonts w:hint="eastAsia" w:ascii="宋体" w:hAnsi="宋体" w:eastAsia="宋体" w:cs="宋体"/>
          <w:color w:val="auto"/>
          <w:sz w:val="28"/>
          <w:szCs w:val="28"/>
          <w:lang w:eastAsia="zh-CN"/>
        </w:rPr>
        <w:t>，同时，</w:t>
      </w:r>
      <w:r>
        <w:rPr>
          <w:rFonts w:hint="eastAsia" w:ascii="宋体" w:hAnsi="宋体" w:eastAsia="宋体" w:cs="宋体"/>
          <w:color w:val="auto"/>
          <w:sz w:val="28"/>
          <w:szCs w:val="28"/>
        </w:rPr>
        <w:t>增加与企业相关选题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不断完善“校企合作指导毕业论文（设计）”模式，</w:t>
      </w:r>
      <w:r>
        <w:rPr>
          <w:rFonts w:hint="eastAsia" w:ascii="宋体" w:hAnsi="宋体" w:eastAsia="宋体" w:cs="宋体"/>
          <w:color w:val="auto"/>
          <w:sz w:val="28"/>
          <w:szCs w:val="28"/>
          <w:lang w:val="en-US" w:eastAsia="zh-CN"/>
        </w:rPr>
        <w:t>2020届毕业生在实验、实习、工程实践和社会调查中完成论文共1557个，比例提升为42.83%。</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2020年6月份开始，学校在新版教务系统中增加了毕业论文（设计）管理模板，采用“一平三端”形式，对毕业论文（设计）工作的选题、开题、中期检查、评阅、答辩成绩录入等过程实行信息化管理。同时，因新冠肺炎疫情影响，2020届毕业生答辩采用线上、线下混合答辩方式，引导学院合理组织了现场答辩和网络答辩，在保证学位授予质量的前提下，共组织了1576名学生顺利开展了远程视频答辩。</w:t>
      </w:r>
    </w:p>
    <w:p>
      <w:pPr>
        <w:pStyle w:val="6"/>
        <w:jc w:val="left"/>
      </w:pPr>
      <w:bookmarkStart w:id="36" w:name="_Toc10994"/>
      <w:r>
        <w:rPr>
          <w:rFonts w:hint="eastAsia" w:ascii="黑体" w:hAnsi="黑体" w:eastAsia="黑体"/>
          <w:sz w:val="24"/>
          <w:szCs w:val="24"/>
        </w:rPr>
        <w:t>3.实习与教学实践基地</w:t>
      </w:r>
      <w:bookmarkEnd w:id="36"/>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学校现有校外实习、实训基地172个，本学年共接纳学生6522人次。为有序组织学生实习工作，加强实习实训管理，学校采取了如下措施：</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一是推动实习基地建设，提高专业集中实习比例。加强对非师范类专业集中实习管理，引导学院新建一批专业实习基地，鼓励学院各专业开展集中实习，全校集中实习比例为69.28%。</w:t>
      </w:r>
    </w:p>
    <w:p>
      <w:pPr>
        <w:spacing w:line="520" w:lineRule="exact"/>
        <w:ind w:firstLine="560" w:firstLineChars="2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依据疫情防控需要，合理调整实习实训。2020年初，学生暂停赴外地实习，并对2020年上期需要参加专业实习的8个学院1274名学生重新调整实践教学时间安排，取消春季学期校外实习计划；对于必需实习毕业生，各教学学院制定了专门方案，采取网络模拟演练、缩短实习时间等措施，科学合理安排实习工作。</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丰富实习内容，提升实习质量。2019年秋季，我校选拔了汉语言文学（师范）、思想政治教育等10个专业232名学生前往永州市各地区37所学校进行了顶岗实习。同时组织完成了人文与社会科学学院等7个院、8个专业，共计445名学生的教育实习工作。组织经济与管理学院等10个院、31个专业、2361名学生圆满完成了2016级的专业实习工作。其中旅游管理、产品设计、环境设计、美术学、视觉传达设计、广播电视编导、广播电视学、广告学、数字媒体技术等专业，围绕永州独具特色的地方历史文化资源和丰富的旅游资源，与本地多家旅行社及公司进行合作，宣传推广永州历史文化和旅游资源；生物工程、生物技术、制药工程、食品质量与安全等专业，根据生物医药、农林产品培育和深加工行业对人才的需求，与多家企业形成了实习与就业相结合的模式；电子科学与技术、电子信息工程、通信工程、计算机科学与技术、软件工程等专业，围绕大数据产业和新兴产业，与相关企业进行校企合作，实习结束后直接在相关领域进行就业；土木工程、测绘工程、机械设计制造及其自动化等专业，围绕永州地区新农村建设、新型城镇化建设工程，依托建华机械厂和猎豹汽车工业园等多个厂家开展实习活动。</w:t>
      </w:r>
    </w:p>
    <w:p>
      <w:pPr>
        <w:pStyle w:val="5"/>
        <w:jc w:val="left"/>
      </w:pPr>
      <w:bookmarkStart w:id="37" w:name="_Toc27063"/>
      <w:bookmarkStart w:id="38" w:name="_Toc1789"/>
      <w:r>
        <w:rPr>
          <w:rFonts w:hint="eastAsia" w:ascii="黑体" w:hAnsi="黑体" w:eastAsia="黑体"/>
          <w:sz w:val="28"/>
          <w:szCs w:val="28"/>
        </w:rPr>
        <w:t>（五）创新创业教育</w:t>
      </w:r>
      <w:bookmarkEnd w:id="37"/>
      <w:bookmarkEnd w:id="38"/>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w:t>
      </w:r>
      <w:r>
        <w:rPr>
          <w:rFonts w:hint="eastAsia" w:ascii="宋体" w:hAnsi="宋体" w:eastAsia="宋体" w:cs="宋体"/>
          <w:color w:val="auto"/>
          <w:sz w:val="28"/>
          <w:szCs w:val="28"/>
          <w:lang w:val="en-US" w:eastAsia="zh-CN"/>
        </w:rPr>
        <w:t>独立设置</w:t>
      </w:r>
      <w:r>
        <w:rPr>
          <w:rFonts w:hint="eastAsia" w:ascii="宋体" w:hAnsi="宋体" w:eastAsia="宋体" w:cs="宋体"/>
          <w:color w:val="auto"/>
          <w:sz w:val="28"/>
          <w:szCs w:val="28"/>
        </w:rPr>
        <w:t>创新创业学院，开展创业培训项目</w:t>
      </w:r>
      <w:r>
        <w:rPr>
          <w:rFonts w:hint="eastAsia" w:ascii="宋体" w:hAnsi="宋体" w:eastAsia="宋体" w:cs="宋体"/>
          <w:color w:val="auto"/>
          <w:sz w:val="28"/>
          <w:szCs w:val="28"/>
          <w:lang w:val="en-US" w:eastAsia="zh-CN"/>
        </w:rPr>
        <w:t>54</w:t>
      </w:r>
      <w:r>
        <w:rPr>
          <w:rFonts w:hint="eastAsia" w:ascii="宋体" w:hAnsi="宋体" w:eastAsia="宋体" w:cs="宋体"/>
          <w:color w:val="auto"/>
          <w:sz w:val="28"/>
          <w:szCs w:val="28"/>
        </w:rPr>
        <w:t>项，开展创新创业讲座</w:t>
      </w:r>
      <w:r>
        <w:rPr>
          <w:rFonts w:hint="eastAsia" w:ascii="宋体" w:hAnsi="宋体" w:eastAsia="宋体" w:cs="宋体"/>
          <w:color w:val="auto"/>
          <w:sz w:val="28"/>
          <w:szCs w:val="28"/>
          <w:lang w:val="en-US" w:eastAsia="zh-CN"/>
        </w:rPr>
        <w:t>55</w:t>
      </w:r>
      <w:r>
        <w:rPr>
          <w:rFonts w:hint="eastAsia" w:ascii="宋体" w:hAnsi="宋体" w:eastAsia="宋体" w:cs="宋体"/>
          <w:color w:val="auto"/>
          <w:sz w:val="28"/>
          <w:szCs w:val="28"/>
        </w:rPr>
        <w:t>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设立创新创业奖学金</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拥有创新创业教育专职教师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人，就业指导专职教师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人，创新创业教育兼职导师</w:t>
      </w:r>
      <w:r>
        <w:rPr>
          <w:rFonts w:hint="eastAsia" w:ascii="宋体" w:hAnsi="宋体" w:eastAsia="宋体" w:cs="宋体"/>
          <w:color w:val="auto"/>
          <w:sz w:val="28"/>
          <w:szCs w:val="28"/>
          <w:lang w:val="en-US" w:eastAsia="zh-CN"/>
        </w:rPr>
        <w:t>140</w:t>
      </w:r>
      <w:r>
        <w:rPr>
          <w:rFonts w:hint="eastAsia" w:ascii="宋体" w:hAnsi="宋体" w:eastAsia="宋体" w:cs="宋体"/>
          <w:color w:val="auto"/>
          <w:sz w:val="28"/>
          <w:szCs w:val="28"/>
        </w:rPr>
        <w:t>人，组织教师创新创业专项培训</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场次，至今有</w:t>
      </w:r>
      <w:r>
        <w:rPr>
          <w:rFonts w:hint="eastAsia" w:ascii="宋体" w:hAnsi="宋体" w:eastAsia="宋体" w:cs="宋体"/>
          <w:color w:val="auto"/>
          <w:sz w:val="28"/>
          <w:szCs w:val="28"/>
          <w:lang w:val="en-US" w:eastAsia="zh-CN"/>
        </w:rPr>
        <w:t>138</w:t>
      </w:r>
      <w:r>
        <w:rPr>
          <w:rFonts w:hint="eastAsia" w:ascii="宋体" w:hAnsi="宋体" w:eastAsia="宋体" w:cs="宋体"/>
          <w:color w:val="auto"/>
          <w:sz w:val="28"/>
          <w:szCs w:val="28"/>
        </w:rPr>
        <w:t>人次参加了创新创业专项培训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设立创新创业教育实践基地（平台）</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个，其中创业示范基地</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个，高校实践育人创新创业基地</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开设创新创业教育课程</w:t>
      </w:r>
      <w:r>
        <w:rPr>
          <w:rFonts w:hint="eastAsia" w:ascii="宋体" w:hAnsi="宋体" w:eastAsia="宋体" w:cs="宋体"/>
          <w:color w:val="auto"/>
          <w:sz w:val="28"/>
          <w:szCs w:val="28"/>
          <w:lang w:val="en-US" w:eastAsia="zh-CN"/>
        </w:rPr>
        <w:t>68</w:t>
      </w:r>
      <w:r>
        <w:rPr>
          <w:rFonts w:hint="eastAsia" w:ascii="宋体" w:hAnsi="宋体" w:eastAsia="宋体" w:cs="宋体"/>
          <w:color w:val="auto"/>
          <w:sz w:val="28"/>
          <w:szCs w:val="28"/>
        </w:rPr>
        <w:t>门，开设职业生涯规划及就业指导课程</w:t>
      </w:r>
      <w:r>
        <w:rPr>
          <w:rFonts w:hint="eastAsia" w:ascii="宋体" w:hAnsi="宋体" w:eastAsia="宋体" w:cs="宋体"/>
          <w:color w:val="auto"/>
          <w:sz w:val="28"/>
          <w:szCs w:val="28"/>
          <w:lang w:val="en-US" w:eastAsia="zh-CN"/>
        </w:rPr>
        <w:t>27</w:t>
      </w:r>
      <w:r>
        <w:rPr>
          <w:rFonts w:hint="eastAsia" w:ascii="宋体" w:hAnsi="宋体" w:eastAsia="宋体" w:cs="宋体"/>
          <w:color w:val="auto"/>
          <w:sz w:val="28"/>
          <w:szCs w:val="28"/>
        </w:rPr>
        <w:t>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本学年学校共立项建设国家级大学生创新创业训练项目</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个（其中创新</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个，创业</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个），省部级大学生创新创业训练项目</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个（其中创新</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个，创业</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个）。</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高度重视创新创业教育工作，积极构建了联结、赋能、服务“三维一体”双创教育生态体系。双创教育模式荣获湖南省第十二届高等教育教学成果奖一等奖；《创业基础》课程被认定为省级一流本科课程；“基于思创融合的《创业基础》OMO教学改革与实践”获2020年湖南省普通高等学校课程思政建设立项；双创基地先后被湖南省发改委、教育厅、科技厅、人社厅等认定为省级优秀创业孵化基地和双创示范基地等。</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联结。即以双创工作为纽带，紧密联系政府机关、企事业单位、学校、教师、学生等，打造态势良好的双创教育生态系统。学校2018年建成3层楼、3750平方米的双创教育综合体，一楼为双创文化培育区，建有“大学创客工场-UIT创享空间”等；二楼为教学实训实践孵化区，建立双创教育教学实训室、师生共创室、众创空间等；三楼为专创融合校企、校地合作区。2019年，以教学学院为牵头单位，立项12个校企合作项目。</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赋能。即以双创学院为平台，帮助学生提升素质和能力。学校做到了每年校内双创导师集训100%全覆盖，还派送了2名教师赴英国索伦特大学专题学习双创教育，制定了《学生工作竞赛奖励办法》《大学生双创奖学金评选与管理办法》等。学生参加“互联网+”大赛热情持续高涨，2015年报名参赛124项，2016年320项，2017年751项，2018年723项，2019年1246项，2020年1427项。2019-2020年在“互联网+”“创青春”等大学生创新创业大赛中，获得省级以上奖励39项。</w:t>
      </w:r>
    </w:p>
    <w:p>
      <w:pPr>
        <w:spacing w:line="520" w:lineRule="exact"/>
        <w:ind w:firstLine="560" w:firstLineChars="2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服务。即推动人才培养方案修订，提供双创场所，选拔有较强双创意识的学生组成双创实验班，为学生成长成才服务。安排专人负责大学生就业创业促进协会、团委双创部两个朋辈辅导组织，学生骨干创业就业核心素养得到有效提升，涌现了一批创业就业典型。譬如2017届毕业生李国琛毕业当年获天使轮1000万投资，成立山东旭兴网络科技有限公司，在齐鲁股权交易中心顺利挂牌，先后获得山东省级服务业创新中心、振兴沂蒙劳动奖、新旧动能</w:t>
      </w:r>
      <w:r>
        <w:rPr>
          <w:rFonts w:hint="default" w:ascii="宋体" w:hAnsi="宋体" w:eastAsia="宋体" w:cs="宋体"/>
          <w:color w:val="auto"/>
          <w:sz w:val="28"/>
          <w:szCs w:val="28"/>
          <w:lang w:val="en-US" w:eastAsia="zh-CN"/>
        </w:rPr>
        <w:t>转换</w:t>
      </w:r>
      <w:r>
        <w:rPr>
          <w:rFonts w:hint="eastAsia" w:ascii="宋体" w:hAnsi="宋体" w:eastAsia="宋体" w:cs="宋体"/>
          <w:color w:val="auto"/>
          <w:sz w:val="28"/>
          <w:szCs w:val="28"/>
          <w:lang w:val="en-US" w:eastAsia="zh-CN"/>
        </w:rPr>
        <w:t>重点企业等多项荣誉，他率领的创业团队在第五届中国“互联网+”大学生双创大赛荣获全国金奖，实现了湖南省二本高校此项大赛全国金奖零的突破。</w:t>
      </w:r>
    </w:p>
    <w:p>
      <w:pPr>
        <w:pStyle w:val="5"/>
        <w:pageBreakBefore w:val="0"/>
        <w:widowControl w:val="0"/>
        <w:kinsoku/>
        <w:wordWrap/>
        <w:overflowPunct/>
        <w:topLinePunct w:val="0"/>
        <w:autoSpaceDE/>
        <w:autoSpaceDN/>
        <w:bidi w:val="0"/>
        <w:adjustRightInd/>
        <w:snapToGrid/>
        <w:spacing w:line="520" w:lineRule="exact"/>
        <w:jc w:val="left"/>
        <w:textAlignment w:val="auto"/>
      </w:pPr>
      <w:bookmarkStart w:id="39" w:name="_Toc20923"/>
      <w:bookmarkStart w:id="40" w:name="_Toc6622"/>
      <w:r>
        <w:rPr>
          <w:rFonts w:hint="eastAsia" w:ascii="黑体" w:hAnsi="黑体" w:eastAsia="黑体"/>
          <w:sz w:val="28"/>
          <w:szCs w:val="28"/>
        </w:rPr>
        <w:t>（六）教学改革</w:t>
      </w:r>
      <w:bookmarkEnd w:id="39"/>
      <w:bookmarkEnd w:id="40"/>
    </w:p>
    <w:p>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lang w:val="en-US" w:eastAsia="zh-CN"/>
        </w:rPr>
      </w:pPr>
      <w:bookmarkStart w:id="41" w:name="_Toc531937782"/>
      <w:r>
        <w:rPr>
          <w:rFonts w:hint="eastAsia" w:ascii="宋体" w:hAnsi="宋体" w:eastAsia="宋体" w:cs="宋体"/>
          <w:color w:val="auto"/>
          <w:sz w:val="28"/>
          <w:szCs w:val="28"/>
          <w:lang w:val="en-US" w:eastAsia="zh-CN"/>
        </w:rPr>
        <w:t>学校获省部级教学成果奖8项（最近一届）。本学年教师主持建设的省部级教学研究与改革项目33项，建设经费达66万元。</w:t>
      </w:r>
    </w:p>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pPr>
        <w:jc w:val="center"/>
        <w:rPr>
          <w:rFonts w:hint="eastAsia" w:ascii="宋体" w:hAnsi="宋体" w:eastAsia="宋体"/>
          <w:color w:val="auto"/>
          <w:sz w:val="24"/>
          <w:szCs w:val="24"/>
        </w:rPr>
      </w:pPr>
      <w:r>
        <w:rPr>
          <w:rFonts w:hint="eastAsia" w:ascii="宋体" w:hAnsi="宋体" w:eastAsia="宋体"/>
          <w:sz w:val="24"/>
          <w:szCs w:val="24"/>
          <w:lang w:val="en-US" w:eastAsia="zh-CN"/>
        </w:rPr>
        <w:t xml:space="preserve">  </w:t>
      </w:r>
      <w:r>
        <w:rPr>
          <w:rFonts w:hint="eastAsia" w:ascii="宋体" w:hAnsi="宋体" w:eastAsia="宋体"/>
          <w:color w:val="auto"/>
          <w:sz w:val="24"/>
          <w:szCs w:val="24"/>
        </w:rPr>
        <w:t>表8</w:t>
      </w:r>
      <w:r>
        <w:rPr>
          <w:rFonts w:hint="eastAsia" w:ascii="宋体" w:hAnsi="宋体" w:eastAsia="宋体"/>
          <w:color w:val="auto"/>
          <w:sz w:val="24"/>
          <w:szCs w:val="24"/>
        </w:rPr>
        <w:tab/>
      </w:r>
      <w:r>
        <w:rPr>
          <w:rFonts w:hint="eastAsia" w:ascii="宋体" w:hAnsi="宋体" w:eastAsia="宋体"/>
          <w:color w:val="auto"/>
          <w:sz w:val="24"/>
          <w:szCs w:val="24"/>
          <w:lang w:val="en-US" w:eastAsia="zh-CN"/>
        </w:rPr>
        <w:t>2019</w:t>
      </w:r>
      <w:r>
        <w:rPr>
          <w:rFonts w:hint="eastAsia" w:ascii="宋体" w:hAnsi="宋体" w:eastAsia="宋体"/>
          <w:color w:val="auto"/>
          <w:sz w:val="24"/>
          <w:szCs w:val="24"/>
        </w:rPr>
        <w:t>年我校教师主持省级及以上本科教学工程（质量工程）项目情况</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31"/>
        <w:gridCol w:w="3139"/>
        <w:gridCol w:w="1964"/>
        <w:gridCol w:w="15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74" w:type="pct"/>
            <w:vAlign w:val="center"/>
          </w:tcPr>
          <w:p>
            <w:pPr>
              <w:jc w:val="center"/>
            </w:pPr>
            <w:r>
              <w:rPr>
                <w:rFonts w:hint="eastAsia" w:ascii="宋体" w:hAnsi="宋体" w:eastAsia="宋体"/>
                <w:b/>
                <w:sz w:val="21"/>
                <w:szCs w:val="21"/>
              </w:rPr>
              <w:t>项目类型</w:t>
            </w:r>
          </w:p>
        </w:tc>
        <w:tc>
          <w:tcPr>
            <w:tcW w:w="1841" w:type="pct"/>
            <w:vAlign w:val="center"/>
          </w:tcPr>
          <w:p>
            <w:pPr>
              <w:jc w:val="center"/>
            </w:pPr>
            <w:r>
              <w:rPr>
                <w:rFonts w:hint="eastAsia" w:ascii="宋体" w:hAnsi="宋体" w:eastAsia="宋体"/>
                <w:b/>
                <w:sz w:val="21"/>
                <w:szCs w:val="21"/>
              </w:rPr>
              <w:t>国家级（教育部）项目数</w:t>
            </w:r>
          </w:p>
        </w:tc>
        <w:tc>
          <w:tcPr>
            <w:tcW w:w="1152" w:type="pct"/>
            <w:vAlign w:val="center"/>
          </w:tcPr>
          <w:p>
            <w:pPr>
              <w:jc w:val="center"/>
            </w:pPr>
            <w:r>
              <w:rPr>
                <w:rFonts w:hint="eastAsia" w:ascii="宋体" w:hAnsi="宋体" w:eastAsia="宋体"/>
                <w:b/>
                <w:sz w:val="21"/>
                <w:szCs w:val="21"/>
              </w:rPr>
              <w:t>省部级项目数</w:t>
            </w:r>
          </w:p>
        </w:tc>
        <w:tc>
          <w:tcPr>
            <w:tcW w:w="931" w:type="pct"/>
            <w:vAlign w:val="center"/>
          </w:tcPr>
          <w:p>
            <w:pPr>
              <w:jc w:val="center"/>
            </w:pPr>
            <w:r>
              <w:rPr>
                <w:rFonts w:hint="eastAsia" w:ascii="宋体" w:hAnsi="宋体" w:eastAsia="宋体"/>
                <w:b/>
                <w:sz w:val="21"/>
                <w:szCs w:val="21"/>
              </w:rPr>
              <w:t>总数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产学合作协同育人项目</w:t>
            </w:r>
          </w:p>
        </w:tc>
        <w:tc>
          <w:tcPr>
            <w:vAlign w:val="center"/>
          </w:tcPr>
          <w:p>
            <w:pPr>
              <w:jc w:val="center"/>
            </w:pPr>
            <w:r>
              <w:t>23</w:t>
            </w:r>
          </w:p>
        </w:tc>
        <w:tc>
          <w:tcPr>
            <w:vAlign w:val="center"/>
          </w:tcPr>
          <w:p>
            <w:pPr>
              <w:jc w:val="center"/>
            </w:pPr>
            <w:r>
              <w:t>0</w:t>
            </w:r>
          </w:p>
        </w:tc>
        <w:tc>
          <w:tcPr>
            <w:vAlign w:val="center"/>
          </w:tcPr>
          <w:p>
            <w:pPr>
              <w:jc w:val="center"/>
            </w:pPr>
            <w:r>
              <w:t>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jc w:val="center"/>
        </w:trPr>
        <w:tc>
          <w:tcPr>
            <w:vAlign w:val="center"/>
          </w:tcPr>
          <w:p>
            <w:pPr>
              <w:jc w:val="center"/>
            </w:pPr>
            <w:r>
              <w:t>其他项目</w:t>
            </w:r>
          </w:p>
        </w:tc>
        <w:tc>
          <w:tcPr>
            <w:vAlign w:val="center"/>
          </w:tcPr>
          <w:p>
            <w:pPr>
              <w:jc w:val="center"/>
            </w:pPr>
            <w:r>
              <w:t>0</w:t>
            </w:r>
          </w:p>
        </w:tc>
        <w:tc>
          <w:tcPr>
            <w:vAlign w:val="center"/>
          </w:tcPr>
          <w:p>
            <w:pPr>
              <w:jc w:val="center"/>
            </w:pPr>
            <w:r>
              <w:t>5</w:t>
            </w:r>
          </w:p>
        </w:tc>
        <w:tc>
          <w:tcPr>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社会实践一流课程</w:t>
            </w:r>
          </w:p>
        </w:tc>
        <w:tc>
          <w:tcPr>
            <w:vAlign w:val="center"/>
          </w:tcPr>
          <w:p>
            <w:pPr>
              <w:jc w:val="center"/>
            </w:pPr>
            <w:r>
              <w:t>0</w:t>
            </w:r>
          </w:p>
        </w:tc>
        <w:tc>
          <w:tcPr>
            <w:vAlign w:val="center"/>
          </w:tcPr>
          <w:p>
            <w:pPr>
              <w:jc w:val="center"/>
            </w:pPr>
            <w:r>
              <w:t>1</w:t>
            </w:r>
          </w:p>
        </w:tc>
        <w:tc>
          <w:tcPr>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精品在线开放课程（线上一流课程）</w:t>
            </w:r>
          </w:p>
        </w:tc>
        <w:tc>
          <w:tcPr>
            <w:vAlign w:val="center"/>
          </w:tcPr>
          <w:p>
            <w:pPr>
              <w:jc w:val="center"/>
            </w:pPr>
            <w:r>
              <w:t>0</w:t>
            </w:r>
          </w:p>
        </w:tc>
        <w:tc>
          <w:tcPr>
            <w:vAlign w:val="center"/>
          </w:tcPr>
          <w:p>
            <w:pPr>
              <w:jc w:val="center"/>
            </w:pPr>
            <w:r>
              <w:t>2</w:t>
            </w:r>
          </w:p>
        </w:tc>
        <w:tc>
          <w:tcPr>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线上线下混合式一流课程</w:t>
            </w:r>
          </w:p>
        </w:tc>
        <w:tc>
          <w:tcPr>
            <w:vAlign w:val="center"/>
          </w:tcPr>
          <w:p>
            <w:pPr>
              <w:jc w:val="center"/>
            </w:pPr>
            <w:r>
              <w:t>0</w:t>
            </w:r>
          </w:p>
        </w:tc>
        <w:tc>
          <w:tcPr>
            <w:vAlign w:val="center"/>
          </w:tcPr>
          <w:p>
            <w:pPr>
              <w:jc w:val="center"/>
            </w:pPr>
            <w:r>
              <w:t>6</w:t>
            </w:r>
          </w:p>
        </w:tc>
        <w:tc>
          <w:tcPr>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2" w:hRule="atLeast"/>
          <w:jc w:val="center"/>
        </w:trPr>
        <w:tc>
          <w:tcPr>
            <w:vAlign w:val="center"/>
          </w:tcPr>
          <w:p>
            <w:pPr>
              <w:jc w:val="center"/>
            </w:pPr>
            <w:r>
              <w:t>线下一流课程</w:t>
            </w:r>
          </w:p>
        </w:tc>
        <w:tc>
          <w:tcPr>
            <w:vAlign w:val="center"/>
          </w:tcPr>
          <w:p>
            <w:pPr>
              <w:jc w:val="center"/>
            </w:pPr>
            <w:r>
              <w:t>0</w:t>
            </w:r>
          </w:p>
        </w:tc>
        <w:tc>
          <w:tcPr>
            <w:vAlign w:val="center"/>
          </w:tcPr>
          <w:p>
            <w:pPr>
              <w:jc w:val="center"/>
            </w:pPr>
            <w:r>
              <w:t>5</w:t>
            </w:r>
          </w:p>
        </w:tc>
        <w:tc>
          <w:tcPr>
            <w:vAlign w:val="center"/>
          </w:tcPr>
          <w:p>
            <w:pPr>
              <w:jc w:val="center"/>
            </w:pPr>
            <w:r>
              <w:t>5</w:t>
            </w:r>
          </w:p>
        </w:tc>
      </w:tr>
    </w:tbl>
    <w:p>
      <w:pPr>
        <w:spacing w:line="520" w:lineRule="exact"/>
        <w:ind w:firstLine="560" w:firstLineChars="200"/>
        <w:jc w:val="left"/>
        <w:rPr>
          <w:rFonts w:hint="eastAsia" w:ascii="宋体" w:hAnsi="宋体" w:eastAsia="宋体" w:cs="宋体"/>
          <w:color w:val="auto"/>
          <w:sz w:val="28"/>
          <w:szCs w:val="28"/>
          <w:lang w:val="en-US" w:eastAsia="zh-CN"/>
        </w:rPr>
      </w:pP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在本学年度，学校主要还从以下几个方面进行了教学改革。</w:t>
      </w:r>
    </w:p>
    <w:p>
      <w:pPr>
        <w:spacing w:line="520" w:lineRule="exact"/>
        <w:ind w:firstLine="562" w:firstLineChars="200"/>
        <w:jc w:val="left"/>
        <w:rPr>
          <w:rFonts w:hint="eastAsia" w:ascii="宋体" w:hAnsi="宋体" w:eastAsia="宋体" w:cs="宋体"/>
          <w:b/>
          <w:bCs/>
          <w:color w:val="auto"/>
          <w:sz w:val="28"/>
          <w:szCs w:val="28"/>
          <w:lang w:val="en-US" w:eastAsia="zh-CN"/>
        </w:rPr>
      </w:pPr>
      <w:bookmarkStart w:id="42" w:name="_Toc531937779"/>
      <w:r>
        <w:rPr>
          <w:rFonts w:hint="eastAsia" w:ascii="宋体" w:hAnsi="宋体" w:eastAsia="宋体" w:cs="宋体"/>
          <w:b/>
          <w:bCs/>
          <w:color w:val="auto"/>
          <w:sz w:val="28"/>
          <w:szCs w:val="28"/>
          <w:lang w:val="en-US" w:eastAsia="zh-CN"/>
        </w:rPr>
        <w:t>1.人才培养方案改革</w:t>
      </w:r>
      <w:bookmarkEnd w:id="42"/>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全面修订人才培养方案。各专业根据人才培养目标和培养要求，依据认证标准，适当压缩课程数量，精简课程学分，合理设置的课程模块，优化学科专业平台，构建“通识教育课程、学科基础课程、专业与专业方向课程、创新创业教育课程、集中实践教学环节”组成的五位一体课程体系，整个课程体系有机融合、层次分明、比例协调。</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完善专业课程体系。我校不断深化各专业供给侧改革，建立健全专业动态调整机制，参照国家通用标准、行业标准，促进学科专业升级、优化和调整。构建了“三平台两模块”的课程体系，“三平台”即通识课程、学科专业课程和创新创业课程三个平台，“两模块”即必修和选修课程两个模块，突出人才培养的“应用型”和“创新性”。</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突出学生实践和创新能力培养。鼓励有条件的院（部）建立多层次、模块化、开放式的实践教学体系；改革实验教学内容，不断提高综合性、设计性实验比例；加大独立设课的实践课程比例，提高实践教学学时比例，各专业集中实践环节均达到了20学分左右。</w:t>
      </w:r>
    </w:p>
    <w:p>
      <w:pPr>
        <w:spacing w:line="520" w:lineRule="exact"/>
        <w:ind w:firstLine="562" w:firstLineChars="20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2.教学内容改革</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按照课程教学内容与行业产业对接原则，改革课程教学内容，制定专业基础课、核心课、技能课教学大纲，鼓励教师编写出版专业核心课程校本教材，建立具有应用型人才培养特色的教材体系。</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根据学校学分制改革实际和高素质应用型人才培养需要，着力推进课程内容更新，及时调整专业人才培养方案，构建思想政治教育与专业教育有机融合的课程体系，建设综合性、问题导向、学科交叉的新型课程群，不断打造“金课”群，2019年我校共立项建设省级三类一流课程12门，校级三类一流课程20门，校级精品在线开放课程30门，校级研讨式课程6门。</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适应社会经济发展需要，建设优势工科专业，加大工科专业核心课程内容改革力度，突出应用型人才培养特点。各个专业以自身专业特色及行业需求为基础，寻求与行业领先企业合作，共同开发课程，改造课程，以项目为驱动，让课程内容更加贴近行业实际，提升实战性。2019年我校立项省级新工科研究与实践项目2项。</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引导教师将科研成果融入课程教学内容，加强教材建设，不断推进马工程重点教材统一审查、统一使用，健全教材编写修订机制，鼓励和支持各二级学院教师参与校本教材编制，加强教材研究，提高教材质量，创新教材呈现方式和话语体系，实现理论体系向教材体系转化、教材体系向教学体系转化、教学体系向学生的知识体系和价值体系转化，教材更加科学化、前沿化。</w:t>
      </w:r>
    </w:p>
    <w:p>
      <w:pPr>
        <w:spacing w:line="520" w:lineRule="exact"/>
        <w:ind w:firstLine="562" w:firstLineChars="20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3.教学方法改革</w:t>
      </w:r>
      <w:bookmarkEnd w:id="41"/>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研究制定本科教学综合改革方案，强化教学改革理念，明确教学改革目标、任务和举措，突出内涵式发展，不断增强学校教学改革的内生动力，激励和引导广大教师积极投入教育教学改革。坚持培养学生的创新能力与解决问题能力为目标，充分利用信息化手段，积极开展研讨式教学和案例式教学，以竞赛促改革，以项目促改革。</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组织开展课堂教学竞赛校内选拔赛，推荐教师参加省级竞赛。邀请省级课堂教学竞赛一等奖获奖教师和经验丰富的教授对推荐参加省级竞赛教师进行现场指导，提升教师的课堂教学质量。我校参赛教师获得省级课堂教学竞赛一等奖3项，二等奖1项，学校获优秀组织奖。</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组织研讨式教学比赛和研讨式课程立项。通过研讨式教学比赛，结合研讨式课程立项任务书，遴选6门教学效果好、学生参与度高的课程进行立项；同时，开展“研讨式开放月”活动，各教研室可进行观摩并开展教研活动。</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组织教师外出学习，助力信息化教学竞赛校内选拔赛。组织教师们参加学校组织的教学竞赛研讨会，加深教师对“教育+信息化”的理解，提升教师运用信息化手段教学意识。本年度通过各教学学院选拔推荐，共12名教师参加信息化教学竞赛校内决赛，参赛作品数量和质量相比以往均有明显提高。参赛教师荣获一等奖2项，获奖率百分百，学校获优秀组织奖。</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四是通过举办获奖教师经验交流会、特邀专家点评指导、信息化教学竞赛讲座等一系列活动，使优秀的课堂教学起到示范带动作用，使教学改革意识深入人心。 </w:t>
      </w:r>
    </w:p>
    <w:p>
      <w:pPr>
        <w:jc w:val="left"/>
      </w:pPr>
      <w:r>
        <w:tab/>
      </w:r>
    </w:p>
    <w:p>
      <w:pPr>
        <w:pStyle w:val="5"/>
        <w:bidi w:val="0"/>
        <w:outlineLvl w:val="0"/>
        <w:rPr>
          <w:rFonts w:hint="eastAsia" w:ascii="黑体" w:hAnsi="黑体" w:eastAsia="黑体" w:cs="黑体"/>
          <w:sz w:val="28"/>
          <w:szCs w:val="28"/>
        </w:rPr>
      </w:pPr>
      <w:bookmarkStart w:id="43" w:name="_Toc17040"/>
      <w:bookmarkStart w:id="44" w:name="_Toc22881"/>
      <w:r>
        <w:rPr>
          <w:rFonts w:hint="eastAsia" w:ascii="黑体" w:hAnsi="黑体" w:eastAsia="黑体" w:cs="黑体"/>
          <w:sz w:val="28"/>
          <w:szCs w:val="28"/>
          <w:lang w:val="en-US" w:eastAsia="zh-CN"/>
        </w:rPr>
        <w:t>四</w:t>
      </w:r>
      <w:r>
        <w:rPr>
          <w:rFonts w:hint="eastAsia" w:ascii="黑体" w:hAnsi="黑体" w:eastAsia="黑体" w:cs="黑体"/>
          <w:sz w:val="28"/>
          <w:szCs w:val="28"/>
        </w:rPr>
        <w:t>、质量保障体系</w:t>
      </w:r>
      <w:bookmarkEnd w:id="43"/>
      <w:bookmarkEnd w:id="44"/>
    </w:p>
    <w:p>
      <w:pPr>
        <w:pStyle w:val="5"/>
        <w:bidi w:val="0"/>
        <w:rPr>
          <w:rFonts w:hint="eastAsia" w:ascii="黑体" w:hAnsi="黑体" w:eastAsia="黑体" w:cs="黑体"/>
          <w:sz w:val="28"/>
          <w:szCs w:val="28"/>
        </w:rPr>
      </w:pPr>
      <w:bookmarkStart w:id="45" w:name="_Toc24866"/>
      <w:bookmarkStart w:id="46" w:name="_Toc500747545"/>
      <w:bookmarkStart w:id="47" w:name="_Toc29647"/>
      <w:bookmarkStart w:id="48" w:name="_Toc501439094"/>
      <w:bookmarkStart w:id="49" w:name="_Toc531794543"/>
      <w:r>
        <w:rPr>
          <w:rFonts w:hint="eastAsia" w:ascii="黑体" w:hAnsi="黑体" w:eastAsia="黑体" w:cs="黑体"/>
          <w:sz w:val="28"/>
          <w:szCs w:val="28"/>
        </w:rPr>
        <w:t>（一）教学中心地位</w:t>
      </w:r>
      <w:bookmarkEnd w:id="45"/>
      <w:bookmarkEnd w:id="46"/>
      <w:bookmarkEnd w:id="47"/>
      <w:bookmarkEnd w:id="48"/>
      <w:bookmarkEnd w:id="49"/>
    </w:p>
    <w:p>
      <w:pPr>
        <w:ind w:firstLine="420" w:firstLineChars="0"/>
        <w:rPr>
          <w:rFonts w:hint="eastAsia" w:ascii="宋体" w:hAnsi="宋体" w:eastAsia="宋体" w:cs="宋体"/>
          <w:sz w:val="28"/>
          <w:szCs w:val="28"/>
          <w:lang w:val="en-US" w:eastAsia="zh-CN"/>
        </w:rPr>
      </w:pPr>
      <w:r>
        <w:rPr>
          <w:rStyle w:val="29"/>
          <w:rFonts w:hint="eastAsia" w:ascii="宋体" w:hAnsi="宋体" w:eastAsia="宋体" w:cs="宋体"/>
          <w:sz w:val="28"/>
          <w:szCs w:val="28"/>
          <w:lang w:val="en-US" w:eastAsia="zh-CN"/>
        </w:rPr>
        <w:t>学校深入贯彻习近平新时代中国特色社会主义思想和党的十九大精神，全面贯彻落实全国、全省教育大会精神，坚持以本为本，推进四个回归，强化人才培养和教学工作的中心地位，从领导重视与顶层设计、制度建设与经费投入、管理服务与科研支撑、教学主体与质量监控等方面，积极推进内涵发展、特色发展和转型发展，全面提高人才培养质量。</w:t>
      </w:r>
      <w:r>
        <w:rPr>
          <w:rStyle w:val="29"/>
          <w:rFonts w:hint="eastAsia" w:ascii="宋体" w:hAnsi="宋体" w:eastAsia="宋体" w:cs="宋体"/>
          <w:sz w:val="28"/>
          <w:szCs w:val="28"/>
          <w:lang w:val="en-US" w:eastAsia="zh-CN"/>
        </w:rPr>
        <w:br w:type="textWrapping"/>
      </w:r>
      <w:r>
        <w:rPr>
          <w:rFonts w:hint="eastAsia"/>
          <w:lang w:val="en-US" w:eastAsia="zh-CN"/>
        </w:rPr>
        <w:tab/>
      </w:r>
      <w:r>
        <w:rPr>
          <w:rFonts w:hint="eastAsia" w:ascii="宋体" w:hAnsi="宋体" w:eastAsia="宋体" w:cs="宋体"/>
          <w:sz w:val="28"/>
          <w:szCs w:val="28"/>
          <w:lang w:val="en-US" w:eastAsia="zh-CN"/>
        </w:rPr>
        <w:t>本学年度，学校党委行政始终把加强本科教学工作和提高本科教育教学质量作为中心任务来抓，把教学工作列入重要议事日程，经常听取教学工作汇报、研究教学工作重大问题，其中党委会5次，占全年会议次数的22.7%，校长办公会17次，占全年会议次数的85%；建立完善校领导听课看课制度，保证了校领导及时掌握教学一线的具体情况；实行校领导分工联系教学学院和班级制度，及时解决基层教学单位在教学工作中存在的困难和问题；定期召开教学工作例会，安排落实学校有关教学工作的决策，确保工作目标实现；建立学生阳光服务平台，持续开展校领导“接待日”“午餐会”等活动，为学生学习生活提供指导与服务；注重学风、教风建设，把考研率作为硬指标，纳入年度目标管理考核；高度重视本科教学工作审核评估，先后召开了4次本科教学工作审核评估推进会和整改工作动员会及推进会，不断加强本科教学建设。</w:t>
      </w:r>
    </w:p>
    <w:p>
      <w:pPr>
        <w:pStyle w:val="5"/>
        <w:bidi w:val="0"/>
        <w:rPr>
          <w:rFonts w:hint="eastAsia" w:ascii="黑体" w:hAnsi="黑体" w:eastAsia="黑体" w:cs="黑体"/>
          <w:sz w:val="28"/>
          <w:szCs w:val="28"/>
        </w:rPr>
      </w:pPr>
      <w:bookmarkStart w:id="50" w:name="_Toc501439095"/>
      <w:bookmarkStart w:id="51" w:name="_Toc500747546"/>
      <w:bookmarkStart w:id="52" w:name="_Toc5236"/>
      <w:bookmarkStart w:id="53" w:name="_Toc14810"/>
      <w:bookmarkStart w:id="54" w:name="_Toc531794544"/>
      <w:r>
        <w:rPr>
          <w:rFonts w:hint="eastAsia" w:ascii="黑体" w:hAnsi="黑体" w:eastAsia="黑体" w:cs="黑体"/>
          <w:sz w:val="28"/>
          <w:szCs w:val="28"/>
        </w:rPr>
        <w:t>（二）质量保障</w:t>
      </w:r>
      <w:bookmarkEnd w:id="50"/>
      <w:bookmarkEnd w:id="51"/>
      <w:r>
        <w:rPr>
          <w:rFonts w:hint="eastAsia" w:ascii="黑体" w:hAnsi="黑体" w:eastAsia="黑体" w:cs="黑体"/>
          <w:sz w:val="28"/>
          <w:szCs w:val="28"/>
        </w:rPr>
        <w:t>体系</w:t>
      </w:r>
      <w:bookmarkEnd w:id="52"/>
      <w:bookmarkEnd w:id="53"/>
      <w:bookmarkEnd w:id="54"/>
    </w:p>
    <w:p>
      <w:pPr>
        <w:ind w:firstLine="420" w:firstLineChars="0"/>
        <w:rPr>
          <w:rFonts w:hint="eastAsia" w:ascii="宋体" w:hAnsi="宋体" w:eastAsia="宋体" w:cs="宋体"/>
          <w:sz w:val="28"/>
          <w:szCs w:val="28"/>
        </w:rPr>
      </w:pPr>
      <w:bookmarkStart w:id="55" w:name="_Toc5520"/>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质量标准建设</w:t>
      </w:r>
      <w:bookmarkEnd w:id="55"/>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（1）制定学校人才培养质量标准。学校贯彻落实教育部和省教育厅文件要求，主动对接行业企业标准、工程教育专业认证标准和师范专业认证标准，及时制定、调整学校人才培养质量标准。</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（2）完善各专业人才培养质量标准。根据国家经济社会发展需求、教育改革发展趋势和行业发展要求，在充分调研基础上，组织修订2020级本科专业人才培养方案。</w:t>
      </w:r>
    </w:p>
    <w:p>
      <w:pPr>
        <w:ind w:firstLine="420" w:firstLineChars="0"/>
        <w:rPr>
          <w:rFonts w:hint="eastAsia" w:ascii="宋体" w:hAnsi="宋体" w:eastAsia="宋体" w:cs="宋体"/>
          <w:sz w:val="28"/>
          <w:szCs w:val="28"/>
          <w:lang w:val="en-US" w:eastAsia="zh-CN"/>
        </w:rPr>
      </w:pPr>
      <w:bookmarkStart w:id="56" w:name="_Toc14591"/>
      <w:r>
        <w:rPr>
          <w:rFonts w:hint="eastAsia" w:ascii="宋体" w:hAnsi="宋体" w:eastAsia="宋体" w:cs="宋体"/>
          <w:sz w:val="28"/>
          <w:szCs w:val="28"/>
          <w:lang w:val="en-US" w:eastAsia="zh-CN"/>
        </w:rPr>
        <w:t>2.教学质量保障模式及体系结构</w:t>
      </w:r>
      <w:bookmarkEnd w:id="56"/>
    </w:p>
    <w:p>
      <w:pPr>
        <w:ind w:firstLine="560" w:firstLineChars="200"/>
        <w:rPr>
          <w:rFonts w:hint="eastAsia"/>
          <w:lang w:val="en-US" w:eastAsia="zh-CN"/>
        </w:rPr>
      </w:pPr>
      <w:r>
        <w:rPr>
          <w:rFonts w:hint="eastAsia" w:ascii="宋体" w:hAnsi="宋体" w:eastAsia="宋体" w:cs="宋体"/>
          <w:sz w:val="28"/>
          <w:szCs w:val="28"/>
          <w:lang w:val="en-US" w:eastAsia="zh-CN"/>
        </w:rPr>
        <w:t>学校现已建成由教学管理决策系统、质量标准系统、条件保障系统、过程执行系统、评估与反馈系统构成的“五位一体”教学质量保障体系。</w:t>
      </w:r>
    </w:p>
    <w:p>
      <w:pPr>
        <w:rPr>
          <w:rFonts w:hint="eastAsia"/>
          <w:lang w:val="en-US" w:eastAsia="zh-CN"/>
        </w:rPr>
      </w:pPr>
    </w:p>
    <w:p>
      <w:r>
        <w:drawing>
          <wp:anchor distT="0" distB="0" distL="114300" distR="114300" simplePos="0" relativeHeight="251655168" behindDoc="1" locked="0" layoutInCell="1" allowOverlap="1">
            <wp:simplePos x="0" y="0"/>
            <wp:positionH relativeFrom="column">
              <wp:posOffset>471805</wp:posOffset>
            </wp:positionH>
            <wp:positionV relativeFrom="paragraph">
              <wp:posOffset>64770</wp:posOffset>
            </wp:positionV>
            <wp:extent cx="4352290" cy="2146300"/>
            <wp:effectExtent l="0" t="0" r="10160" b="6350"/>
            <wp:wrapNone/>
            <wp:docPr id="17" name="图片 10" descr="教学质量保障体系（最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教学质量保障体系（最终稿）"/>
                    <pic:cNvPicPr>
                      <a:picLocks noChangeAspect="1"/>
                    </pic:cNvPicPr>
                  </pic:nvPicPr>
                  <pic:blipFill>
                    <a:blip r:embed="rId14"/>
                    <a:stretch>
                      <a:fillRect/>
                    </a:stretch>
                  </pic:blipFill>
                  <pic:spPr>
                    <a:xfrm>
                      <a:off x="0" y="0"/>
                      <a:ext cx="4352290" cy="2146300"/>
                    </a:xfrm>
                    <a:prstGeom prst="rect">
                      <a:avLst/>
                    </a:prstGeom>
                    <a:noFill/>
                    <a:ln>
                      <a:noFill/>
                    </a:ln>
                  </pic:spPr>
                </pic:pic>
              </a:graphicData>
            </a:graphic>
          </wp:anchor>
        </w:drawing>
      </w:r>
    </w:p>
    <w:p/>
    <w:p/>
    <w:p/>
    <w:p/>
    <w:p/>
    <w:p/>
    <w:p/>
    <w:p/>
    <w:p/>
    <w:p/>
    <w:p>
      <w:pPr>
        <w:jc w:val="center"/>
        <w:rPr>
          <w:rFonts w:hint="eastAsia" w:ascii="宋体" w:hAnsi="宋体" w:eastAsia="宋体"/>
          <w:color w:val="auto"/>
          <w:sz w:val="24"/>
          <w:szCs w:val="24"/>
        </w:rPr>
      </w:pPr>
    </w:p>
    <w:p>
      <w:pPr>
        <w:jc w:val="center"/>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图8  </w:t>
      </w:r>
      <w:r>
        <w:rPr>
          <w:rFonts w:hint="eastAsia" w:ascii="宋体" w:hAnsi="宋体" w:eastAsia="宋体"/>
          <w:color w:val="auto"/>
          <w:sz w:val="24"/>
          <w:szCs w:val="24"/>
        </w:rPr>
        <w:t>“五位一体”教学质量保障体系</w:t>
      </w:r>
    </w:p>
    <w:p>
      <w:pPr>
        <w:rPr>
          <w:rFonts w:hint="eastAsia"/>
        </w:rPr>
      </w:pPr>
    </w:p>
    <w:p>
      <w:pPr>
        <w:ind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质量保障组织建设</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学校设立了由校长领导、主管副校长具体负责的校院两级教学质量监控组织机构。建立了教学督导团、教学学院督导组、学生管理委员会和家长管理委员会和学校理事会、校友会等机构，建立和完善校内外质量保障组织建设，充分发挥各组织机构的质量监控、信息反馈、质量改进作用，提高教学质量。</w:t>
      </w:r>
    </w:p>
    <w:p>
      <w:pPr>
        <w:ind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质量保障队伍建设</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现有校领导8名，其中具有正高级职称6名，所占比例为75%，具有博士学位3名，所占比例为37.50%；校级教学管理人员16人，其中高级职称6人，所占比例为37.5%，硕士及以上学位10人，所占比例为62.5%；院级教学管理人员47人，其中高级职称28人，所占比例为59.57%，硕士及以上学位39人，所占比例为82.98%；教学管理人员获得省部级教学成果奖8项。</w:t>
      </w:r>
    </w:p>
    <w:p>
      <w:pPr>
        <w:ind w:firstLine="420" w:firstLineChars="0"/>
        <w:rPr>
          <w:rFonts w:hint="eastAsia" w:ascii="宋体" w:hAnsi="宋体" w:eastAsia="宋体" w:cs="宋体"/>
          <w:sz w:val="28"/>
          <w:szCs w:val="28"/>
          <w:lang w:val="en-US" w:eastAsia="zh-CN"/>
        </w:rPr>
      </w:pPr>
      <w:bookmarkStart w:id="57" w:name="_Toc501439096"/>
      <w:bookmarkStart w:id="58" w:name="_Toc500747547"/>
      <w:bookmarkStart w:id="59" w:name="_Toc531794546"/>
      <w:r>
        <w:rPr>
          <w:rFonts w:hint="eastAsia" w:ascii="宋体" w:hAnsi="宋体" w:eastAsia="宋体" w:cs="宋体"/>
          <w:sz w:val="28"/>
          <w:szCs w:val="28"/>
          <w:lang w:val="en-US" w:eastAsia="zh-CN"/>
        </w:rPr>
        <w:t>专职学生辅导员74人，其中本科生辅导员74人，按本科生数15620计算，学生与本科生辅导员的比例为211:1；学生辅导员中，具有高级职称的1人，所占比例为1.35%，具有中级职称的28人，所占比例为37.84%；学生辅导员中，具有研究生学历的52人，所占比例为70.27%，具有大学本科学历的22人，所占比例为29.73%；学校配备专职的心理咨询工作人员4名，学生与心理咨询工作人员之比为3953.75:1。</w:t>
      </w:r>
    </w:p>
    <w:p>
      <w:pPr>
        <w:rPr>
          <w:rFonts w:hint="eastAsia" w:ascii="宋体" w:hAnsi="宋体" w:eastAsia="宋体" w:cs="宋体"/>
          <w:sz w:val="28"/>
          <w:szCs w:val="28"/>
        </w:rPr>
      </w:pPr>
      <w:bookmarkStart w:id="60" w:name="_Toc620"/>
      <w:bookmarkStart w:id="61" w:name="_Toc1328"/>
      <w:r>
        <w:rPr>
          <w:rStyle w:val="22"/>
          <w:rFonts w:hint="eastAsia" w:ascii="黑体" w:hAnsi="黑体" w:eastAsia="黑体" w:cs="黑体"/>
          <w:sz w:val="28"/>
          <w:szCs w:val="28"/>
          <w:lang w:val="en-US" w:eastAsia="zh-CN"/>
        </w:rPr>
        <w:t>（三）质量管理</w:t>
      </w:r>
      <w:bookmarkEnd w:id="57"/>
      <w:bookmarkEnd w:id="58"/>
      <w:bookmarkEnd w:id="59"/>
      <w:r>
        <w:rPr>
          <w:rStyle w:val="22"/>
          <w:rFonts w:hint="eastAsia" w:ascii="黑体" w:hAnsi="黑体" w:eastAsia="黑体" w:cs="黑体"/>
          <w:sz w:val="28"/>
          <w:szCs w:val="28"/>
          <w:lang w:val="en-US" w:eastAsia="zh-CN"/>
        </w:rPr>
        <w:t>措施</w:t>
      </w:r>
      <w:r>
        <w:rPr>
          <w:rStyle w:val="22"/>
          <w:rFonts w:hint="eastAsia"/>
        </w:rPr>
        <w:br w:type="textWrapping"/>
      </w:r>
      <w:bookmarkEnd w:id="60"/>
      <w:r>
        <w:rPr>
          <w:rFonts w:hint="eastAsia" w:ascii="宋体" w:hAnsi="宋体" w:eastAsia="宋体" w:cs="宋体"/>
          <w:sz w:val="28"/>
          <w:szCs w:val="28"/>
          <w:lang w:val="en-US" w:eastAsia="zh-CN"/>
        </w:rPr>
        <w:tab/>
      </w:r>
      <w:r>
        <w:rPr>
          <w:rFonts w:hint="eastAsia" w:ascii="宋体" w:hAnsi="宋体" w:eastAsia="宋体" w:cs="宋体"/>
          <w:sz w:val="28"/>
          <w:szCs w:val="28"/>
        </w:rPr>
        <w:t>1</w:t>
      </w:r>
      <w:r>
        <w:rPr>
          <w:rFonts w:hint="eastAsia" w:ascii="宋体" w:hAnsi="宋体" w:eastAsia="宋体" w:cs="宋体"/>
          <w:sz w:val="28"/>
          <w:szCs w:val="28"/>
          <w:lang w:val="en-US" w:eastAsia="zh-CN"/>
        </w:rPr>
        <w:t>.督导</w:t>
      </w:r>
      <w:r>
        <w:rPr>
          <w:rFonts w:hint="eastAsia" w:ascii="宋体" w:hAnsi="宋体" w:eastAsia="宋体" w:cs="宋体"/>
          <w:sz w:val="28"/>
          <w:szCs w:val="28"/>
        </w:rPr>
        <w:t>听</w:t>
      </w:r>
      <w:r>
        <w:rPr>
          <w:rFonts w:hint="eastAsia" w:ascii="宋体" w:hAnsi="宋体" w:eastAsia="宋体" w:cs="宋体"/>
          <w:sz w:val="28"/>
          <w:szCs w:val="28"/>
          <w:lang w:eastAsia="zh-CN"/>
        </w:rPr>
        <w:t>、</w:t>
      </w:r>
      <w:r>
        <w:rPr>
          <w:rFonts w:hint="eastAsia" w:ascii="宋体" w:hAnsi="宋体" w:eastAsia="宋体" w:cs="宋体"/>
          <w:sz w:val="28"/>
          <w:szCs w:val="28"/>
        </w:rPr>
        <w:t>评课工作</w:t>
      </w:r>
      <w:bookmarkEnd w:id="61"/>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教学督导团重点开展了对新进教师、非专任教师及其他随机听课教师的听、评课活动，听课对象共计630人，听课1684节次，其中新进教师87人，近三年进校的青年教师110人，随机听课教师471人，非专任教师25人。</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2.日常教学检查</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严格执行《湖南科技学院教学质量监控工作条例》，开展开学第一天教学运行常规检查；二是充分运用视频检查和教学督导听课、教学信息反馈等方式开展日常教学实时检查；三是对节假日及调整作息时间后的教学情况开展重点检查；四是加强全校考风考纪例行巡查。在日常教学运行监控中，本年度共对3名违反教学纪律教师进行了教学事故认定和处理，另对5名任课教师进行了谈话处理，保证教学秩序正常运行。</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3.课程考核试卷和毕业论文（设计）等教学文件质量检查</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组织教学质量管理处、教务处、实验实训中心、校教学督导团和学院部分领导，通过学院自查和学校集中检查方式，采取分组方式，对各教学学院课程考试试卷、毕业论文（设计）、教学文档（含院系文档、教师个人教学文档）、实验专项等进行了全面、详细检查。</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4.线上教学质量监控</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起草并下发了《关于防疫期间开展线上教学质量检查的通知》和《线上教学质量监控方案》，组织校教学督导团、教学质量管理处、教务处等相关成员共同组建了学校线上教学质量检查组，采取分组、定点、专人随机抽查方式，对全校线上教学情况实施全方位监控；督促学院领导和督导组采取值班听课方式，监控和指导本院开课教师开展线上教学；引导和要求系部主任采取线下审查、线上指导的方式，对教师个人教学内容、方式等进行把关和督促，全面提升线上教学质量监控力度。同时，学校对线上教学工作进行了广泛调查和重点调研，先后组织了两次大型线上教学质量调查工作。</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5.师范专业认证和工程教育专业认证</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先后制定了《湖南科技学院工程教育专业认证工作实施方案（2020-2022年）》《湖南科技学院师范类专业认证工作实施方案（2020-2022年）》，成立了新工科协作组和师范专业协作组，认真组织师范专业监测数据复核和填报工作，汉语言文学专业已进入湖南省2020年师范类专业二级认证受理专业名单。</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6.教学信息收集和反馈工作</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共聘任了320名学生信息员，对课堂教学和实践教学环节进行了严密地质量监控，实现了“学院全覆盖”“班级全覆盖”“环节全覆盖”的学生信息反馈目标。2019年下期共提交了5539条有效教学信息，对教学信息分类后，反馈到各教学学院及职能部门，并对相关问题解决进行了督查；2020年上期，因疫情影响，学校全面开展线上教学，通过QQ群、微信群、问卷星等方式，充分运用每班一人的学生信息员队伍优势，广泛征求学生意见，调研学生学习效果，并有机结合校院两级质量监控人员意见，持续改进线上教学效果。</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7.教师课堂教学质量综合评估</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组织开展在校学生学习满意度调查。学生参与率达到了97.89%，总体而言，我校学生对学校教学的总体满意度较高，向他人推荐学校的比例达到了91.91%，呈整体上升趋势。</w:t>
      </w:r>
    </w:p>
    <w:p>
      <w:pPr>
        <w:ind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组织实施学生评教工作。2019年下期组织全校15236人在规定时间进行学生网络评教，共收集了177451条有效数据，参评率达到97.45%，最高95.5分；2020年上期组织全校11501人进行学生网络评教，共收集了232709条有效数据，参评率达到90.92%，最高96分。并在学生评教基础上，积极组织教师同行评教、学院领导评教和督导评教，硬性要求上述评教结果优秀率不超过40%，有力保证教师课堂教学质量综合评估信度和效度。</w:t>
      </w:r>
    </w:p>
    <w:p>
      <w:pPr>
        <w:rPr>
          <w:rFonts w:hint="eastAsia" w:ascii="宋体" w:hAnsi="宋体" w:eastAsia="宋体" w:cs="宋体"/>
          <w:sz w:val="28"/>
          <w:szCs w:val="28"/>
        </w:rPr>
      </w:pPr>
      <w:bookmarkStart w:id="62" w:name="_Toc10667"/>
      <w:bookmarkStart w:id="63" w:name="_Toc11924"/>
      <w:r>
        <w:rPr>
          <w:rStyle w:val="22"/>
          <w:rFonts w:hint="eastAsia" w:ascii="黑体" w:hAnsi="黑体" w:eastAsia="黑体" w:cs="黑体"/>
          <w:sz w:val="28"/>
          <w:szCs w:val="28"/>
          <w:lang w:val="en-US" w:eastAsia="zh-CN"/>
        </w:rPr>
        <w:t>（四）信息利用和质量改进</w:t>
      </w:r>
      <w:bookmarkEnd w:id="62"/>
      <w:r>
        <w:rPr>
          <w:rFonts w:hint="eastAsia"/>
        </w:rPr>
        <w:br w:type="textWrapping"/>
      </w:r>
      <w:r>
        <w:rPr>
          <w:rFonts w:hint="eastAsia" w:ascii="宋体" w:hAnsi="宋体" w:eastAsia="宋体" w:cs="宋体"/>
          <w:sz w:val="28"/>
          <w:szCs w:val="28"/>
          <w:lang w:val="en-US" w:eastAsia="zh-CN"/>
        </w:rPr>
        <w:tab/>
      </w: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质量信息收集及利用</w:t>
      </w:r>
      <w:bookmarkEnd w:id="63"/>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一是建立本科教学基本状态数据监测和通报机制，强化了2019-2020学年度本科教学基本状态数据采集工作，对办学条件、师资队伍、学科专业建设、人才培养质量、教学管理与质量监控等方面实时监测。</w:t>
      </w:r>
      <w:bookmarkStart w:id="64" w:name="_Toc25645"/>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二是搭建并运行教学质量保障体系平台</w:t>
      </w:r>
      <w:bookmarkEnd w:id="64"/>
      <w:r>
        <w:rPr>
          <w:rFonts w:hint="eastAsia" w:ascii="宋体" w:hAnsi="宋体" w:eastAsia="宋体" w:cs="宋体"/>
          <w:sz w:val="28"/>
          <w:szCs w:val="28"/>
          <w:lang w:val="en-US" w:eastAsia="zh-CN"/>
        </w:rPr>
        <w:t>，根据教育部数据采集最新要求，加强教学质量保障体系平台建设，及时更新数据平台功能模块，对全校教学质量要素和环节进行了全面、实时的监控和管理，教学质量管理实现信息化，学校能及时发现问题并采取整改措施保障教学。</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组织各教学学院和职能处室对我校教学基本状态数据进行采集，完成了8大类数据、94张详细表格、680个数据指标数据收集，形成了《湖南科技学院本科教学数据分析报告》和《湖南科技学院2018-2019学年度本科教学质量报告》，并通过学校本科教学工作审核评估专题网站、质量管理处网站、学校网站和会议通报等形式向全校师生和社会公开发布。</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是突出课堂教学信息及教学专项检查信息反馈，充分发挥校教学督导团课堂教学督导作用，对新进教师、非专任教师和教学效果不理想教师的课堂教学督查反馈；突出学生信息员对课堂教学信息反馈作用，每月对全校课堂教学信息进行汇总分析，并反馈各教学学院；同时，学校坚持对教风学风检查、毕业论文（设计）检查、试卷检查、实验室检查、专业综合评价、教学学院教学工作评估等结果进行全校公开通报。</w:t>
      </w:r>
    </w:p>
    <w:p>
      <w:pPr>
        <w:ind w:firstLine="420" w:firstLineChars="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质量持续改进</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2019年度，学校正式接受了教育部本科教学工作审核评估，2020年上期进入全面整改阶段。学校为有序推进本科教学审核评估整改，一是制定了《湖南科技学院本科教学工作审核评估整改方案》，由校领导亲自挂帅，共分六个整改小组，稳步推进全校本科教学整改工作；二是拟定了校属各单位整改工作责任清单，对各组整改任务、整改责任人、整改要求、整改措施、整改期限等方面进行了明确规定；三是组织召开了全校性本科教学审核评估总结暨整改动员大会，对整改工作进行了周密部署和充分动员，要求全校各职能部门和教学单位紧紧围绕本科人才培养质量和审核评估整改方案，全面推进整改工作；四是组织召开了审核评估推进会，全体校领导和各教学学院、职能处室主要负责人与会，进一步分部门、工作组进行了整改工作总结和后续工作安排。经过动员会和推进会后，整改工作精神深入人心，全校师生全身心投入整改工作，整改氛围更加积极主动，各相关部门、各教学学院根据学校整改工作整体部署，做了大量整改工作，整改任务得到不同程度的推进，全校各职能部门和教学单位紧紧围绕本科人才培养质量有效开展工作，严格对照审核评估整改要求，强化人才培养中心地位，强化质量保障体系建设，不断提高人才培养质量。</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jc w:val="left"/>
      </w:pPr>
      <w:bookmarkStart w:id="65" w:name="_Toc1447"/>
      <w:bookmarkStart w:id="66" w:name="_Toc13361"/>
      <w:r>
        <w:rPr>
          <w:rFonts w:hint="eastAsia" w:ascii="黑体" w:hAnsi="黑体" w:eastAsia="黑体"/>
          <w:sz w:val="30"/>
          <w:szCs w:val="30"/>
          <w:lang w:val="en-US" w:eastAsia="zh-CN"/>
        </w:rPr>
        <w:t>五</w:t>
      </w:r>
      <w:r>
        <w:rPr>
          <w:rFonts w:hint="eastAsia" w:ascii="黑体" w:hAnsi="黑体" w:eastAsia="黑体"/>
          <w:sz w:val="30"/>
          <w:szCs w:val="30"/>
        </w:rPr>
        <w:t>、学生学习效果</w:t>
      </w:r>
      <w:bookmarkEnd w:id="65"/>
      <w:bookmarkEnd w:id="66"/>
    </w:p>
    <w:p>
      <w:pPr>
        <w:pStyle w:val="5"/>
        <w:jc w:val="left"/>
      </w:pPr>
      <w:bookmarkStart w:id="67" w:name="_Toc23275"/>
      <w:bookmarkStart w:id="68" w:name="_Toc19702"/>
      <w:r>
        <w:rPr>
          <w:rFonts w:hint="eastAsia" w:ascii="黑体" w:hAnsi="黑体" w:eastAsia="黑体"/>
          <w:sz w:val="28"/>
          <w:szCs w:val="28"/>
        </w:rPr>
        <w:t>（一）毕业情况</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2020年共有本科毕业生3857人，实际毕业人数3635人，毕业率为94.24%，学位授予率为93.70%。</w:t>
      </w:r>
    </w:p>
    <w:p>
      <w:pPr>
        <w:pStyle w:val="5"/>
        <w:jc w:val="left"/>
      </w:pPr>
      <w:bookmarkStart w:id="69" w:name="_Toc13293"/>
      <w:bookmarkStart w:id="70" w:name="_Toc18746"/>
      <w:r>
        <w:rPr>
          <w:rFonts w:hint="eastAsia" w:ascii="黑体" w:hAnsi="黑体" w:eastAsia="黑体"/>
          <w:sz w:val="28"/>
          <w:szCs w:val="28"/>
        </w:rPr>
        <w:t>（二）就业情况</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截至2020年8月31日，学校应届本科毕业生总就业率为79.75%。根据我校2020届毕业生就业情况统计数据显示，我校毕业生就业单位类型仍以私企等中小企业为主，连续三年就业总人数比例超过60%（2018年62.32%,2019年64.4%，2020年69.58%）；考研升学283人，占毕业生总人数的7.79%，其中出国（境）留学20人。2020届毕业生中从事教育、建筑业、制造业的人数较去年有所增加，从事信息传输、软件和信息技术服务业、金融业、文化、体育和娱乐业的人数较去年有所下降。毕业生就业人数前三的省份分别为湖南、广东、江苏，占就业总人数的70.06%。</w:t>
      </w:r>
    </w:p>
    <w:p>
      <w:pPr>
        <w:pStyle w:val="5"/>
        <w:jc w:val="left"/>
      </w:pPr>
      <w:bookmarkStart w:id="71" w:name="_Toc31554"/>
      <w:bookmarkStart w:id="72" w:name="_Toc7244"/>
      <w:r>
        <w:rPr>
          <w:rFonts w:hint="eastAsia" w:ascii="黑体" w:hAnsi="黑体" w:eastAsia="黑体"/>
          <w:sz w:val="28"/>
          <w:szCs w:val="28"/>
        </w:rPr>
        <w:t>（三）转专业与辅修情况</w:t>
      </w:r>
      <w:bookmarkEnd w:id="71"/>
      <w:bookmarkEnd w:id="72"/>
    </w:p>
    <w:p>
      <w:pPr>
        <w:jc w:val="left"/>
        <w:rPr>
          <w:rFonts w:hint="eastAsia" w:ascii="宋体" w:hAnsi="宋体" w:eastAsia="宋体" w:cs="宋体"/>
          <w:b w:val="0"/>
          <w:bCs w:val="0"/>
          <w:color w:val="auto"/>
          <w:kern w:val="2"/>
          <w:sz w:val="28"/>
          <w:szCs w:val="28"/>
          <w:lang w:val="en-US" w:eastAsia="zh-CN" w:bidi="ar-SA"/>
        </w:rPr>
      </w:pPr>
      <w:r>
        <w:tab/>
      </w:r>
      <w:r>
        <w:rPr>
          <w:rFonts w:hint="eastAsia" w:ascii="宋体" w:hAnsi="宋体" w:eastAsia="宋体" w:cs="宋体"/>
          <w:b w:val="0"/>
          <w:bCs w:val="0"/>
          <w:color w:val="auto"/>
          <w:kern w:val="2"/>
          <w:sz w:val="28"/>
          <w:szCs w:val="28"/>
          <w:lang w:val="en-US" w:eastAsia="zh-CN" w:bidi="ar-SA"/>
        </w:rPr>
        <w:t>根据中华人民共和国教育部第41号令，我校制定了《湖南科技学院学生学籍管理办法》，学生在校就读期间给予符合转专业条件的学生一次转专业机会。学生于第一或第二学期期末放假前两周内提出转专业申请；转出、转入专业实行双向选择，提出转专业申请的学生由学院进行考核。学院成立相关工作小组，负责转专业的选拔、接收等工作，并报教务处备案。本学年，转专业学生130名，占全日制在校本科生数比例为0.83%。</w:t>
      </w:r>
    </w:p>
    <w:p>
      <w:pPr>
        <w:jc w:val="left"/>
        <w:outlineLvl w:val="1"/>
        <w:rPr>
          <w:rFonts w:hint="default" w:eastAsia="黑体"/>
          <w:lang w:val="en-US" w:eastAsia="zh-CN"/>
        </w:rPr>
      </w:pPr>
      <w:bookmarkStart w:id="73" w:name="_Toc20375"/>
      <w:r>
        <w:rPr>
          <w:rFonts w:hint="eastAsia" w:ascii="黑体" w:hAnsi="黑体" w:eastAsia="黑体"/>
          <w:sz w:val="28"/>
          <w:szCs w:val="28"/>
        </w:rPr>
        <w:t>（</w:t>
      </w:r>
      <w:r>
        <w:rPr>
          <w:rFonts w:hint="eastAsia" w:ascii="黑体" w:hAnsi="黑体" w:eastAsia="黑体"/>
          <w:sz w:val="28"/>
          <w:szCs w:val="28"/>
          <w:lang w:val="en-US" w:eastAsia="zh-CN"/>
        </w:rPr>
        <w:t>四</w:t>
      </w:r>
      <w:r>
        <w:rPr>
          <w:rFonts w:hint="eastAsia" w:ascii="黑体" w:hAnsi="黑体" w:eastAsia="黑体"/>
          <w:sz w:val="28"/>
          <w:szCs w:val="28"/>
        </w:rPr>
        <w:t>）</w:t>
      </w:r>
      <w:r>
        <w:rPr>
          <w:rFonts w:hint="eastAsia" w:ascii="黑体" w:hAnsi="黑体" w:eastAsia="黑体"/>
          <w:sz w:val="28"/>
          <w:szCs w:val="28"/>
          <w:lang w:val="en-US" w:eastAsia="zh-CN"/>
        </w:rPr>
        <w:t>学生学风与获奖</w:t>
      </w:r>
      <w:bookmarkEnd w:id="7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2019-2020学年，学校高度重视学风建设，从环境建设、思想建设、组织制度建设等多方入手，学风建设落实到位、成效显著。</w:t>
      </w:r>
    </w:p>
    <w:p>
      <w:pPr>
        <w:pStyle w:val="8"/>
        <w:ind w:firstLine="562" w:firstLineChars="200"/>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1.学风建设主要举措：</w:t>
      </w:r>
    </w:p>
    <w:p>
      <w:pPr>
        <w:pStyle w:val="8"/>
        <w:ind w:firstLine="562" w:firstLineChars="200"/>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sz w:val="28"/>
          <w:szCs w:val="28"/>
          <w:lang w:val="en-US" w:eastAsia="zh-CN"/>
        </w:rPr>
        <w:t>（1）</w:t>
      </w:r>
      <w:r>
        <w:rPr>
          <w:rFonts w:hint="eastAsia" w:ascii="宋体" w:hAnsi="宋体" w:eastAsia="宋体" w:cs="宋体"/>
          <w:b/>
          <w:bCs/>
          <w:color w:val="000000"/>
          <w:sz w:val="28"/>
          <w:szCs w:val="28"/>
        </w:rPr>
        <w:t>强化思想引领，紧扣主题教育</w:t>
      </w:r>
      <w:r>
        <w:rPr>
          <w:rFonts w:hint="eastAsia" w:ascii="宋体" w:hAnsi="宋体" w:eastAsia="宋体" w:cs="宋体"/>
          <w:b w:val="0"/>
          <w:bCs w:val="0"/>
          <w:color w:val="auto"/>
          <w:kern w:val="2"/>
          <w:sz w:val="28"/>
          <w:szCs w:val="28"/>
          <w:lang w:val="en-US" w:eastAsia="zh-CN" w:bidi="ar-SA"/>
        </w:rPr>
        <w:t>。学校拟定并下发了“三学会，三争先，做‘三有’好青年”主题教育活动方案，2020年3月，拟定并下发了“心怀爱国情砥砺强国志笃定报国行”主题教育年活动方案，围绕“培养什么人”的首要问题和“服务学生成长成才”的中心目标，着力“六个下功夫”，通过系列教育实践活动，开展理想信念教育，激励学生回归常识，刻苦学习，切实解决“为谁读书”的问题。如通过“学习强国”、“永州红星网”、“青年大学习”主题团课等网络学习平台，开展读书会、研讨会、主题班会、知识竞赛等爱国爱校教育活动；持续推进“走下网络、走出宿舍、走向操场”的“三走”活动，引导大学生在培养奋斗精神上下功夫。2020年4月，组织辅导员、思政课教师申报湖南科技学院思想政治工作质量提升工程，立项29项，协同推进“课程思政”建设，取得较好效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（2）坚持精准指导，促进良好学风形成。</w:t>
      </w:r>
      <w:r>
        <w:rPr>
          <w:rFonts w:hint="eastAsia" w:ascii="宋体" w:hAnsi="宋体" w:eastAsia="宋体" w:cs="宋体"/>
          <w:b w:val="0"/>
          <w:bCs w:val="0"/>
          <w:color w:val="auto"/>
          <w:kern w:val="2"/>
          <w:sz w:val="28"/>
          <w:szCs w:val="28"/>
          <w:lang w:val="en-US" w:eastAsia="zh-CN" w:bidi="ar-SA"/>
        </w:rPr>
        <w:t>遵循学生发展特点、教育规律，开展“明德讲坛”系列活动、“书山有路，青马领航”系列读书活动、“职业生涯规划大赛”、“心理健康教育月”、“国学讲坛”、茶艺大赛、体育运动会等活动，切实解决“怎么读书”和“读什么样的书”的问题。积极开展专业技能竞赛，以赛促学，如土木与环境工程学院开展测绘综合技能竞赛，旅游与文化产业学院开展茶艺师技能大赛看，外国语学院开展英语、日语专业演讲比赛，经济与管理学院开展营销策划大赛、体育学院开展各项专业技能竞赛、人文与社会科学学院开展写作大赛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（3）树立优秀典型，引领学风建设。</w:t>
      </w:r>
      <w:r>
        <w:rPr>
          <w:rFonts w:hint="eastAsia" w:ascii="宋体" w:hAnsi="宋体" w:eastAsia="宋体" w:cs="宋体"/>
          <w:b w:val="0"/>
          <w:bCs w:val="0"/>
          <w:color w:val="auto"/>
          <w:kern w:val="2"/>
          <w:sz w:val="28"/>
          <w:szCs w:val="28"/>
          <w:lang w:val="en-US" w:eastAsia="zh-CN" w:bidi="ar-SA"/>
        </w:rPr>
        <w:t>利用“易班”平台，推进网络思想政治教育工作，开展“易班加油站助力校运会”志愿服务活动、“易班进教室、进宿舍”系列宣传活动、“我为连队赢C位”活动等；开展“杰出校友论坛”，定期邀请校友回校宣讲，加强励志教育，2019年9月邀请校友中南林业科技大学教师袁红梅博士回校在开学典礼上发言，2020年9月邀请荣获“全国抗击新冠肺炎疫情先进个人”的校友辜鹏博回校讲学；加强党员教育，树立模范带头作用，2019年11月，学生工作部组织学生党员赴湖南省廉政文化教育基地——道县周敦颐故居开展廉洁教育活动。每年有100余名学生被评为省级优秀毕业生，500余名学生被评为校级优秀毕业生；同时每年评选出百名“舜德学子”，开展“舜德讲坛”，并组织考研学子及优秀毕业生代表开展学习经验交流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（4）注重文化熏陶，促进学风建设。</w:t>
      </w:r>
      <w:r>
        <w:rPr>
          <w:rFonts w:hint="eastAsia" w:ascii="宋体" w:hAnsi="宋体" w:eastAsia="宋体" w:cs="宋体"/>
          <w:b w:val="0"/>
          <w:bCs w:val="0"/>
          <w:color w:val="auto"/>
          <w:kern w:val="2"/>
          <w:sz w:val="28"/>
          <w:szCs w:val="28"/>
          <w:lang w:val="en-US" w:eastAsia="zh-CN" w:bidi="ar-SA"/>
        </w:rPr>
        <w:t>推进特色成长辅导室和书院文化建设，构建良好学习环境，利用“书院读书会”活动，扩大书院影响。三年来共有5个省级特色成长辅导室立项，“馨语馨愿”、“心灵港湾”特色成长辅导室均顺利通过省级成长辅导室的验收，2个校级特色成长辅导室立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（5）规范日常管理，营造良好学风氛围。</w:t>
      </w:r>
      <w:r>
        <w:rPr>
          <w:rFonts w:hint="eastAsia" w:ascii="宋体" w:hAnsi="宋体" w:eastAsia="宋体" w:cs="宋体"/>
          <w:b w:val="0"/>
          <w:bCs w:val="0"/>
          <w:color w:val="auto"/>
          <w:kern w:val="2"/>
          <w:sz w:val="28"/>
          <w:szCs w:val="28"/>
          <w:lang w:val="en-US" w:eastAsia="zh-CN" w:bidi="ar-SA"/>
        </w:rPr>
        <w:t>加大日常规范管理工作力度，严抓学生到课率和早晚自习出勤率，安排专人查课，如实记录学生出勤情况，学生综合到课率高；合理安排调配学生宿舍，完善学生公寓配套设施，严格校外住宿审批程序，严查私自外宿情况，学生公寓入住率高；开学初及时联系家长，督促学生按时返校，学生开学到校率高；通过张贴宣传海报、悬挂横幅标语、召开主题班会等形式开展“诚信教育”，利用入学教育契机，组织学生集体学习《湖南科技学院章程》、《湖南科技学院学生手册》，进行相关知识测试，帮助学生了解和掌握学生管理的相关规定，期末考试前，组织召开“考试动员大会”，进行违纪预防教育，帮助学生树立诚信考试意识，学生考试违纪率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2.学风建设主要成效：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（1）学习风气日益改善，获奖学生不断增加。</w:t>
      </w:r>
      <w:r>
        <w:rPr>
          <w:rFonts w:hint="eastAsia" w:ascii="宋体" w:hAnsi="宋体" w:eastAsia="宋体" w:cs="宋体"/>
          <w:b w:val="0"/>
          <w:bCs w:val="0"/>
          <w:color w:val="auto"/>
          <w:kern w:val="2"/>
          <w:sz w:val="28"/>
          <w:szCs w:val="28"/>
          <w:lang w:val="en-US" w:eastAsia="zh-CN" w:bidi="ar-SA"/>
        </w:rPr>
        <w:t>2019年度获得国家奖学金学生23人，共计184000元；国家励志奖学金436人,共计218000元；国家助学金3219人,共计12062600元；校级奖学金1351人，共计1942000元。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（2）学生专业素养全面提升，专业技能竞赛成果丰硕。</w:t>
      </w:r>
      <w:r>
        <w:rPr>
          <w:rFonts w:hint="eastAsia" w:ascii="宋体" w:hAnsi="宋体" w:eastAsia="宋体" w:cs="宋体"/>
          <w:b w:val="0"/>
          <w:bCs w:val="0"/>
          <w:color w:val="auto"/>
          <w:kern w:val="2"/>
          <w:sz w:val="28"/>
          <w:szCs w:val="28"/>
          <w:lang w:val="en-US" w:eastAsia="zh-CN" w:bidi="ar-SA"/>
        </w:rPr>
        <w:t>在教育行政主管部门举办的各类专业技能竞赛中，学生表现优异，成绩喜人。2019年，我校学子在由教育行政部门主办的赛事中共荣获国家级一等奖2项、三等奖2项，省级一等奖18项、省级二等奖37项、省级三等奖64项，优秀组织奖2项，团体奖1项，团体三等奖2项，优秀辩手奖1项。</w:t>
      </w:r>
    </w:p>
    <w:p>
      <w:pPr>
        <w:jc w:val="left"/>
        <w:outlineLvl w:val="1"/>
        <w:rPr>
          <w:rFonts w:hint="default" w:eastAsia="黑体"/>
          <w:lang w:val="en-US" w:eastAsia="zh-CN"/>
        </w:rPr>
      </w:pPr>
      <w:bookmarkStart w:id="74" w:name="_Toc25587"/>
      <w:r>
        <w:rPr>
          <w:rFonts w:hint="eastAsia" w:ascii="黑体" w:hAnsi="黑体" w:eastAsia="黑体"/>
          <w:sz w:val="28"/>
          <w:szCs w:val="28"/>
        </w:rPr>
        <w:t>（</w:t>
      </w:r>
      <w:r>
        <w:rPr>
          <w:rFonts w:hint="eastAsia" w:ascii="黑体" w:hAnsi="黑体" w:eastAsia="黑体"/>
          <w:sz w:val="28"/>
          <w:szCs w:val="28"/>
          <w:lang w:val="en-US" w:eastAsia="zh-CN"/>
        </w:rPr>
        <w:t>五</w:t>
      </w:r>
      <w:r>
        <w:rPr>
          <w:rFonts w:hint="eastAsia" w:ascii="黑体" w:hAnsi="黑体" w:eastAsia="黑体"/>
          <w:sz w:val="28"/>
          <w:szCs w:val="28"/>
        </w:rPr>
        <w:t>）</w:t>
      </w:r>
      <w:r>
        <w:rPr>
          <w:rFonts w:hint="eastAsia" w:ascii="黑体" w:hAnsi="黑体" w:eastAsia="黑体"/>
          <w:sz w:val="28"/>
          <w:szCs w:val="28"/>
          <w:lang w:val="en-US" w:eastAsia="zh-CN"/>
        </w:rPr>
        <w:t>优秀校友展示</w:t>
      </w:r>
      <w:bookmarkEnd w:id="7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学校为国家和地方经济社会发展提供了有力的人才支持和智力支撑，成为湖南乃至全国人才培养的重要基地，已为国家和地方经济社会发展培养了各类人才，毕业生中涌现出中国工程院院士、省部级领导干部、优秀企业家与行业骨干等一大批优秀人才。其中物理系毕业的欧阳晓平，是中国共产党第十九届中央委员会候补委员、中国工程院院士，我国脉冲辐射场诊断的学科带头人之一，先后获得中国科技青年奖、求实杰出青年奖、全国百篇优秀博士论文、全国优秀科技工作者、何梁何利科学技术进步奖等荣誉，获得国家技术发明二等奖1项、三等奖2项，国家科技进步二等奖2项，部委级科技进步一等奖5项、二等奖5项；数学系毕业的傅安平是中国第一批精算师，高级经济师，现任</w:t>
      </w:r>
      <w:r>
        <w:rPr>
          <w:rFonts w:hint="eastAsia" w:ascii="宋体" w:hAnsi="宋体" w:eastAsia="宋体" w:cs="宋体"/>
          <w:b w:val="0"/>
          <w:bCs w:val="0"/>
          <w:color w:val="auto"/>
          <w:kern w:val="2"/>
          <w:sz w:val="28"/>
          <w:szCs w:val="28"/>
          <w:lang w:val="en-US" w:eastAsia="zh-CN" w:bidi="ar-SA"/>
        </w:rPr>
        <w:fldChar w:fldCharType="begin"/>
      </w:r>
      <w:r>
        <w:rPr>
          <w:rFonts w:hint="eastAsia" w:ascii="宋体" w:hAnsi="宋体" w:eastAsia="宋体" w:cs="宋体"/>
          <w:b w:val="0"/>
          <w:bCs w:val="0"/>
          <w:color w:val="auto"/>
          <w:kern w:val="2"/>
          <w:sz w:val="28"/>
          <w:szCs w:val="28"/>
          <w:lang w:val="en-US" w:eastAsia="zh-CN" w:bidi="ar-SA"/>
        </w:rPr>
        <w:instrText xml:space="preserve"> HYPERLINK "http://baike.so.com/doc/1031281-1090643.html" </w:instrText>
      </w:r>
      <w:r>
        <w:rPr>
          <w:rFonts w:hint="eastAsia" w:ascii="宋体" w:hAnsi="宋体" w:eastAsia="宋体" w:cs="宋体"/>
          <w:b w:val="0"/>
          <w:bCs w:val="0"/>
          <w:color w:val="auto"/>
          <w:kern w:val="2"/>
          <w:sz w:val="28"/>
          <w:szCs w:val="28"/>
          <w:lang w:val="en-US" w:eastAsia="zh-CN" w:bidi="ar-SA"/>
        </w:rPr>
        <w:fldChar w:fldCharType="separate"/>
      </w:r>
      <w:r>
        <w:rPr>
          <w:rFonts w:hint="eastAsia" w:ascii="宋体" w:hAnsi="宋体" w:eastAsia="宋体" w:cs="宋体"/>
          <w:b w:val="0"/>
          <w:bCs w:val="0"/>
          <w:color w:val="auto"/>
          <w:kern w:val="2"/>
          <w:sz w:val="28"/>
          <w:szCs w:val="28"/>
          <w:lang w:val="en-US" w:eastAsia="zh-CN" w:bidi="ar-SA"/>
        </w:rPr>
        <w:t>中国人民人寿保险股份有限公司</w:t>
      </w:r>
      <w:r>
        <w:rPr>
          <w:rFonts w:hint="eastAsia" w:ascii="宋体" w:hAnsi="宋体" w:eastAsia="宋体" w:cs="宋体"/>
          <w:b w:val="0"/>
          <w:bCs w:val="0"/>
          <w:color w:val="auto"/>
          <w:kern w:val="2"/>
          <w:sz w:val="28"/>
          <w:szCs w:val="28"/>
          <w:lang w:val="en-US" w:eastAsia="zh-CN" w:bidi="ar-SA"/>
        </w:rPr>
        <w:fldChar w:fldCharType="end"/>
      </w:r>
      <w:r>
        <w:rPr>
          <w:rFonts w:hint="eastAsia" w:ascii="宋体" w:hAnsi="宋体" w:eastAsia="宋体" w:cs="宋体"/>
          <w:b w:val="0"/>
          <w:bCs w:val="0"/>
          <w:color w:val="auto"/>
          <w:kern w:val="2"/>
          <w:sz w:val="28"/>
          <w:szCs w:val="28"/>
          <w:lang w:val="en-US" w:eastAsia="zh-CN" w:bidi="ar-SA"/>
        </w:rPr>
        <w:t>党委书记、总裁；数学系毕业的陈志英，现任广州市常务副市长；外语系毕业的黄楚新，现任中国社会科学院新闻与传播研究所传媒发展研究中心主任、新闻学研究室主任，还是中央电视台节目评价专家；化学系毕业的郭军，现任湖南人文科技学院党委书记；历史系毕业的李小豹，现任江西萍乡市委书记；化学系毕业的张亚红，现为湖南中天创智投资有限公司总裁；数学系毕业的段小燕，现为上市公司深圳鑫景源科技股份有限公司董事长；中文系毕业的谢杨，现为港股上市公司建禹集团执行董事、主席兼行政总裁；新闻系毕业的辜鹏博，出席全国抗击新冠肺炎疫情表彰大会接受国家表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pPr>
      <w:bookmarkStart w:id="75" w:name="_Toc470"/>
      <w:r>
        <w:rPr>
          <w:rFonts w:hint="eastAsia" w:ascii="黑体" w:hAnsi="黑体" w:eastAsia="黑体"/>
          <w:sz w:val="30"/>
          <w:szCs w:val="30"/>
          <w:lang w:val="en-US" w:eastAsia="zh-CN"/>
        </w:rPr>
        <w:t>六</w:t>
      </w:r>
      <w:r>
        <w:rPr>
          <w:rFonts w:hint="eastAsia" w:ascii="黑体" w:hAnsi="黑体" w:eastAsia="黑体"/>
          <w:sz w:val="30"/>
          <w:szCs w:val="30"/>
        </w:rPr>
        <w:t>、特色发展</w:t>
      </w:r>
      <w:bookmarkEnd w:id="7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bookmarkStart w:id="76" w:name="_Toc13955"/>
      <w:bookmarkStart w:id="77" w:name="_Toc2268"/>
      <w:bookmarkStart w:id="78" w:name="_Toc8792"/>
      <w:bookmarkStart w:id="79" w:name="_Toc3919"/>
      <w:r>
        <w:rPr>
          <w:rFonts w:hint="eastAsia" w:ascii="宋体" w:hAnsi="宋体" w:eastAsia="宋体" w:cs="宋体"/>
          <w:b w:val="0"/>
          <w:bCs w:val="0"/>
          <w:color w:val="auto"/>
          <w:kern w:val="2"/>
          <w:sz w:val="28"/>
          <w:szCs w:val="28"/>
          <w:lang w:val="en-US" w:eastAsia="zh-CN" w:bidi="ar-SA"/>
        </w:rPr>
        <w:t>近年来，学校扎根永州大地办大学，在教育教学改革和人才培养等方面进行了有益探索和生动实践。学校坚持“地方性、应用型、有特色”的办学定位，坚持教育教学改革，奋力提升双一流建设水平，坚持校地融合发展，积极培养应用型人才，本科教学水平和人才培养质量得到不断提升。</w:t>
      </w:r>
      <w:bookmarkEnd w:id="76"/>
      <w:bookmarkEnd w:id="77"/>
      <w:bookmarkEnd w:id="78"/>
      <w:bookmarkEnd w:id="79"/>
      <w:bookmarkStart w:id="80" w:name="_Toc30824"/>
      <w:bookmarkStart w:id="81" w:name="_Toc8248"/>
      <w:bookmarkStart w:id="82" w:name="_Toc6281"/>
      <w:bookmarkStart w:id="83" w:name="_Toc16363"/>
    </w:p>
    <w:p>
      <w:pPr>
        <w:pStyle w:val="5"/>
        <w:bidi w:val="0"/>
        <w:rPr>
          <w:rFonts w:hint="eastAsia" w:ascii="黑体" w:hAnsi="黑体" w:eastAsia="黑体" w:cs="黑体"/>
          <w:sz w:val="28"/>
          <w:szCs w:val="28"/>
          <w:lang w:val="en-US" w:eastAsia="zh-CN"/>
        </w:rPr>
      </w:pPr>
      <w:bookmarkStart w:id="84" w:name="_Toc9784"/>
      <w:r>
        <w:rPr>
          <w:rFonts w:hint="eastAsia" w:ascii="黑体" w:hAnsi="黑体" w:eastAsia="黑体" w:cs="黑体"/>
          <w:sz w:val="28"/>
          <w:szCs w:val="28"/>
          <w:lang w:val="en-US" w:eastAsia="zh-CN"/>
        </w:rPr>
        <w:t>（一）深化教育教学改革，全力打造“双一流”</w:t>
      </w:r>
      <w:bookmarkEnd w:id="84"/>
    </w:p>
    <w:p>
      <w:pPr>
        <w:ind w:firstLine="420" w:firstLineChars="0"/>
        <w:rPr>
          <w:rFonts w:hint="eastAsia" w:ascii="宋体" w:hAnsi="宋体" w:eastAsia="宋体" w:cs="宋体"/>
          <w:b/>
          <w:bCs/>
          <w:sz w:val="28"/>
          <w:szCs w:val="28"/>
          <w:lang w:val="en-US" w:eastAsia="zh-CN"/>
        </w:rPr>
      </w:pPr>
      <w:bookmarkStart w:id="85" w:name="_Toc16636"/>
      <w:r>
        <w:rPr>
          <w:rFonts w:hint="eastAsia" w:ascii="宋体" w:hAnsi="宋体" w:eastAsia="宋体" w:cs="宋体"/>
          <w:b/>
          <w:bCs/>
          <w:sz w:val="28"/>
          <w:szCs w:val="28"/>
          <w:lang w:val="en-US" w:eastAsia="zh-CN"/>
        </w:rPr>
        <w:t>1.专业、课程勇创“一流”</w:t>
      </w:r>
      <w:bookmarkEnd w:id="85"/>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学校坚持应用型办学定位，进一步优化专业结构，新增本科专业2个，现有本科专业49个，涵盖八大学科门类。同时结合区域学科专业特色和优势，加强专业特色培育，获批省级一流本科专业建设点17个，省级综合改革试点专业3个，培育校级一流专业建设点8个，校级转型发展试点专业6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积极响应教育部一流课程建设“双万计划”，制定《湖南科技学院一流课程建设实施方案》《湖南科技学院在线课程建设与管理办法》等系列文件，着力打造具有高阶性、创新性和挑战度的“金课”。2019-2020年，我校3门课程入选首批国家级一流本科课程，12门课程认定为省级一流课程，专业、课程建设取得明显成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w:t>
      </w:r>
      <w:r>
        <w:rPr>
          <w:rFonts w:hint="eastAsia" w:ascii="宋体" w:hAnsi="宋体" w:eastAsia="宋体" w:cs="宋体"/>
          <w:b/>
          <w:bCs/>
          <w:color w:val="auto"/>
          <w:kern w:val="2"/>
          <w:sz w:val="28"/>
          <w:szCs w:val="28"/>
          <w:lang w:val="zh-CN" w:eastAsia="zh-CN" w:bidi="ar-SA"/>
        </w:rPr>
        <w:t>教学改革</w:t>
      </w:r>
      <w:r>
        <w:rPr>
          <w:rFonts w:hint="eastAsia" w:ascii="宋体" w:hAnsi="宋体" w:eastAsia="宋体" w:cs="宋体"/>
          <w:b/>
          <w:bCs/>
          <w:color w:val="auto"/>
          <w:kern w:val="2"/>
          <w:sz w:val="28"/>
          <w:szCs w:val="28"/>
          <w:lang w:val="en-US" w:eastAsia="zh-CN" w:bidi="ar-SA"/>
        </w:rPr>
        <w:t>成效显著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zh-CN" w:eastAsia="zh-CN" w:bidi="ar-SA"/>
        </w:rPr>
        <w:t>学校以</w:t>
      </w:r>
      <w:r>
        <w:rPr>
          <w:rFonts w:hint="eastAsia" w:ascii="宋体" w:hAnsi="宋体" w:eastAsia="宋体" w:cs="宋体"/>
          <w:b w:val="0"/>
          <w:bCs w:val="0"/>
          <w:color w:val="auto"/>
          <w:kern w:val="2"/>
          <w:sz w:val="28"/>
          <w:szCs w:val="28"/>
          <w:lang w:val="en-US" w:eastAsia="zh-CN" w:bidi="ar-SA"/>
        </w:rPr>
        <w:t>课堂教学</w:t>
      </w:r>
      <w:r>
        <w:rPr>
          <w:rFonts w:hint="eastAsia" w:ascii="宋体" w:hAnsi="宋体" w:eastAsia="宋体" w:cs="宋体"/>
          <w:b w:val="0"/>
          <w:bCs w:val="0"/>
          <w:color w:val="auto"/>
          <w:kern w:val="2"/>
          <w:sz w:val="28"/>
          <w:szCs w:val="28"/>
          <w:lang w:val="zh-CN" w:eastAsia="zh-CN" w:bidi="ar-SA"/>
        </w:rPr>
        <w:t>改革为核心，</w:t>
      </w:r>
      <w:r>
        <w:rPr>
          <w:rFonts w:hint="eastAsia" w:ascii="宋体" w:hAnsi="宋体" w:eastAsia="宋体" w:cs="宋体"/>
          <w:b w:val="0"/>
          <w:bCs w:val="0"/>
          <w:color w:val="auto"/>
          <w:kern w:val="2"/>
          <w:sz w:val="28"/>
          <w:szCs w:val="28"/>
          <w:lang w:val="en-US" w:eastAsia="zh-CN" w:bidi="ar-SA"/>
        </w:rPr>
        <w:t>积极</w:t>
      </w:r>
      <w:r>
        <w:rPr>
          <w:rFonts w:hint="eastAsia" w:ascii="宋体" w:hAnsi="宋体" w:eastAsia="宋体" w:cs="宋体"/>
          <w:b w:val="0"/>
          <w:bCs w:val="0"/>
          <w:color w:val="auto"/>
          <w:kern w:val="2"/>
          <w:sz w:val="28"/>
          <w:szCs w:val="28"/>
          <w:lang w:val="zh-CN" w:eastAsia="zh-CN" w:bidi="ar-SA"/>
        </w:rPr>
        <w:t>更新教育教学理念，</w:t>
      </w:r>
      <w:r>
        <w:rPr>
          <w:rFonts w:hint="eastAsia" w:ascii="宋体" w:hAnsi="宋体" w:eastAsia="宋体" w:cs="宋体"/>
          <w:b w:val="0"/>
          <w:bCs w:val="0"/>
          <w:color w:val="auto"/>
          <w:kern w:val="2"/>
          <w:sz w:val="28"/>
          <w:szCs w:val="28"/>
          <w:lang w:val="en-US" w:eastAsia="zh-CN" w:bidi="ar-SA"/>
        </w:rPr>
        <w:t>不断</w:t>
      </w:r>
      <w:r>
        <w:rPr>
          <w:rFonts w:hint="eastAsia" w:ascii="宋体" w:hAnsi="宋体" w:eastAsia="宋体" w:cs="宋体"/>
          <w:b w:val="0"/>
          <w:bCs w:val="0"/>
          <w:color w:val="auto"/>
          <w:kern w:val="2"/>
          <w:sz w:val="28"/>
          <w:szCs w:val="28"/>
          <w:lang w:val="zh-CN" w:eastAsia="zh-CN" w:bidi="ar-SA"/>
        </w:rPr>
        <w:t>深化教育教学改革。</w:t>
      </w:r>
      <w:r>
        <w:rPr>
          <w:rFonts w:hint="eastAsia" w:ascii="宋体" w:hAnsi="宋体" w:eastAsia="宋体" w:cs="宋体"/>
          <w:b w:val="0"/>
          <w:bCs w:val="0"/>
          <w:color w:val="auto"/>
          <w:kern w:val="2"/>
          <w:sz w:val="28"/>
          <w:szCs w:val="28"/>
          <w:lang w:val="en-US" w:eastAsia="zh-CN" w:bidi="ar-SA"/>
        </w:rPr>
        <w:t>一方面，学校</w:t>
      </w:r>
      <w:r>
        <w:rPr>
          <w:rFonts w:hint="eastAsia" w:ascii="宋体" w:hAnsi="宋体" w:eastAsia="宋体" w:cs="宋体"/>
          <w:b w:val="0"/>
          <w:bCs w:val="0"/>
          <w:color w:val="auto"/>
          <w:kern w:val="2"/>
          <w:sz w:val="28"/>
          <w:szCs w:val="28"/>
          <w:lang w:val="zh-CN" w:eastAsia="zh-CN" w:bidi="ar-SA"/>
        </w:rPr>
        <w:t>出台政策激励教师</w:t>
      </w:r>
      <w:r>
        <w:rPr>
          <w:rFonts w:hint="eastAsia" w:ascii="宋体" w:hAnsi="宋体" w:eastAsia="宋体" w:cs="宋体"/>
          <w:b w:val="0"/>
          <w:bCs w:val="0"/>
          <w:color w:val="auto"/>
          <w:kern w:val="2"/>
          <w:sz w:val="28"/>
          <w:szCs w:val="28"/>
          <w:lang w:val="en-US" w:eastAsia="zh-CN" w:bidi="ar-SA"/>
        </w:rPr>
        <w:t>加强</w:t>
      </w:r>
      <w:r>
        <w:rPr>
          <w:rFonts w:hint="eastAsia" w:ascii="宋体" w:hAnsi="宋体" w:eastAsia="宋体" w:cs="宋体"/>
          <w:b w:val="0"/>
          <w:bCs w:val="0"/>
          <w:color w:val="auto"/>
          <w:kern w:val="2"/>
          <w:sz w:val="28"/>
          <w:szCs w:val="28"/>
          <w:lang w:val="zh-CN" w:eastAsia="zh-CN" w:bidi="ar-SA"/>
        </w:rPr>
        <w:t>课堂教学改革，搭建平台促进教师交流，以赛促教，不断提升</w:t>
      </w:r>
      <w:r>
        <w:rPr>
          <w:rFonts w:hint="eastAsia" w:ascii="宋体" w:hAnsi="宋体" w:eastAsia="宋体" w:cs="宋体"/>
          <w:b w:val="0"/>
          <w:bCs w:val="0"/>
          <w:color w:val="auto"/>
          <w:kern w:val="2"/>
          <w:sz w:val="28"/>
          <w:szCs w:val="28"/>
          <w:lang w:val="en-US" w:eastAsia="zh-CN" w:bidi="ar-SA"/>
        </w:rPr>
        <w:t>课堂</w:t>
      </w:r>
      <w:r>
        <w:rPr>
          <w:rFonts w:hint="eastAsia" w:ascii="宋体" w:hAnsi="宋体" w:eastAsia="宋体" w:cs="宋体"/>
          <w:b w:val="0"/>
          <w:bCs w:val="0"/>
          <w:color w:val="auto"/>
          <w:kern w:val="2"/>
          <w:sz w:val="28"/>
          <w:szCs w:val="28"/>
          <w:lang w:val="zh-CN" w:eastAsia="zh-CN" w:bidi="ar-SA"/>
        </w:rPr>
        <w:t>教学质量；</w:t>
      </w:r>
      <w:r>
        <w:rPr>
          <w:rFonts w:hint="eastAsia" w:ascii="宋体" w:hAnsi="宋体" w:eastAsia="宋体" w:cs="宋体"/>
          <w:b w:val="0"/>
          <w:bCs w:val="0"/>
          <w:color w:val="auto"/>
          <w:kern w:val="2"/>
          <w:sz w:val="28"/>
          <w:szCs w:val="28"/>
          <w:lang w:val="en-US" w:eastAsia="zh-CN" w:bidi="ar-SA"/>
        </w:rPr>
        <w:t>另一方面，</w:t>
      </w:r>
      <w:r>
        <w:rPr>
          <w:rFonts w:hint="eastAsia" w:ascii="宋体" w:hAnsi="宋体" w:eastAsia="宋体" w:cs="宋体"/>
          <w:b w:val="0"/>
          <w:bCs w:val="0"/>
          <w:color w:val="auto"/>
          <w:kern w:val="2"/>
          <w:sz w:val="28"/>
          <w:szCs w:val="28"/>
          <w:lang w:val="zh-CN" w:eastAsia="zh-CN" w:bidi="ar-SA"/>
        </w:rPr>
        <w:t>学校</w:t>
      </w:r>
      <w:r>
        <w:rPr>
          <w:rFonts w:hint="eastAsia" w:ascii="宋体" w:hAnsi="宋体" w:eastAsia="宋体" w:cs="宋体"/>
          <w:b w:val="0"/>
          <w:bCs w:val="0"/>
          <w:color w:val="auto"/>
          <w:kern w:val="2"/>
          <w:sz w:val="28"/>
          <w:szCs w:val="28"/>
          <w:lang w:val="en-US" w:eastAsia="zh-CN" w:bidi="ar-SA"/>
        </w:rPr>
        <w:t>强化</w:t>
      </w:r>
      <w:r>
        <w:rPr>
          <w:rFonts w:hint="eastAsia" w:ascii="宋体" w:hAnsi="宋体" w:eastAsia="宋体" w:cs="宋体"/>
          <w:b w:val="0"/>
          <w:bCs w:val="0"/>
          <w:color w:val="auto"/>
          <w:kern w:val="2"/>
          <w:sz w:val="28"/>
          <w:szCs w:val="28"/>
          <w:lang w:val="zh-CN" w:eastAsia="zh-CN" w:bidi="ar-SA"/>
        </w:rPr>
        <w:t>教</w:t>
      </w:r>
      <w:r>
        <w:rPr>
          <w:rFonts w:hint="eastAsia" w:ascii="宋体" w:hAnsi="宋体" w:eastAsia="宋体" w:cs="宋体"/>
          <w:b w:val="0"/>
          <w:bCs w:val="0"/>
          <w:color w:val="auto"/>
          <w:kern w:val="2"/>
          <w:sz w:val="28"/>
          <w:szCs w:val="28"/>
          <w:lang w:val="en-US" w:eastAsia="zh-CN" w:bidi="ar-SA"/>
        </w:rPr>
        <w:t>学</w:t>
      </w:r>
      <w:r>
        <w:rPr>
          <w:rFonts w:hint="eastAsia" w:ascii="宋体" w:hAnsi="宋体" w:eastAsia="宋体" w:cs="宋体"/>
          <w:b w:val="0"/>
          <w:bCs w:val="0"/>
          <w:color w:val="auto"/>
          <w:kern w:val="2"/>
          <w:sz w:val="28"/>
          <w:szCs w:val="28"/>
          <w:lang w:val="zh-CN" w:eastAsia="zh-CN" w:bidi="ar-SA"/>
        </w:rPr>
        <w:t>环境建设，引导教师积极应用现代教育技术手段，不断更新教学理念，创新教学模式，改进教学方法，构建了完善的线上线下</w:t>
      </w:r>
      <w:r>
        <w:rPr>
          <w:rFonts w:hint="eastAsia" w:ascii="宋体" w:hAnsi="宋体" w:eastAsia="宋体" w:cs="宋体"/>
          <w:b w:val="0"/>
          <w:bCs w:val="0"/>
          <w:color w:val="auto"/>
          <w:kern w:val="2"/>
          <w:sz w:val="28"/>
          <w:szCs w:val="28"/>
          <w:lang w:val="en-US" w:eastAsia="zh-CN" w:bidi="ar-SA"/>
        </w:rPr>
        <w:t>混合</w:t>
      </w:r>
      <w:r>
        <w:rPr>
          <w:rFonts w:hint="eastAsia" w:ascii="宋体" w:hAnsi="宋体" w:eastAsia="宋体" w:cs="宋体"/>
          <w:b w:val="0"/>
          <w:bCs w:val="0"/>
          <w:color w:val="auto"/>
          <w:kern w:val="2"/>
          <w:sz w:val="28"/>
          <w:szCs w:val="28"/>
          <w:lang w:val="zh-CN" w:eastAsia="zh-CN" w:bidi="ar-SA"/>
        </w:rPr>
        <w:t>教学模式。</w:t>
      </w:r>
      <w:r>
        <w:rPr>
          <w:rFonts w:hint="eastAsia" w:ascii="宋体" w:hAnsi="宋体" w:eastAsia="宋体" w:cs="宋体"/>
          <w:b w:val="0"/>
          <w:bCs w:val="0"/>
          <w:color w:val="auto"/>
          <w:kern w:val="2"/>
          <w:sz w:val="28"/>
          <w:szCs w:val="28"/>
          <w:lang w:val="en-US" w:eastAsia="zh-CN" w:bidi="ar-SA"/>
        </w:rPr>
        <w:t>2019</w:t>
      </w:r>
      <w:r>
        <w:rPr>
          <w:rFonts w:hint="eastAsia" w:ascii="宋体" w:hAnsi="宋体" w:eastAsia="宋体" w:cs="宋体"/>
          <w:b w:val="0"/>
          <w:bCs w:val="0"/>
          <w:color w:val="auto"/>
          <w:kern w:val="2"/>
          <w:sz w:val="28"/>
          <w:szCs w:val="28"/>
          <w:lang w:val="zh-CN" w:eastAsia="zh-CN" w:bidi="ar-SA"/>
        </w:rPr>
        <w:t>年，我校共获得</w:t>
      </w:r>
      <w:r>
        <w:rPr>
          <w:rFonts w:hint="eastAsia" w:ascii="宋体" w:hAnsi="宋体" w:eastAsia="宋体" w:cs="宋体"/>
          <w:b w:val="0"/>
          <w:bCs w:val="0"/>
          <w:color w:val="auto"/>
          <w:kern w:val="2"/>
          <w:sz w:val="28"/>
          <w:szCs w:val="28"/>
          <w:lang w:val="en-US" w:eastAsia="zh-CN" w:bidi="ar-SA"/>
        </w:rPr>
        <w:t>省级教学成果奖一等奖1项、二等奖2项、三等奖6项；</w:t>
      </w:r>
      <w:r>
        <w:rPr>
          <w:rFonts w:hint="eastAsia" w:ascii="宋体" w:hAnsi="宋体" w:eastAsia="宋体" w:cs="宋体"/>
          <w:b w:val="0"/>
          <w:bCs w:val="0"/>
          <w:color w:val="auto"/>
          <w:kern w:val="2"/>
          <w:sz w:val="28"/>
          <w:szCs w:val="28"/>
          <w:lang w:val="zh-CN" w:eastAsia="zh-CN" w:bidi="ar-SA"/>
        </w:rPr>
        <w:t>省级课堂教学竞赛一等奖</w:t>
      </w:r>
      <w:r>
        <w:rPr>
          <w:rFonts w:hint="eastAsia" w:ascii="宋体" w:hAnsi="宋体" w:eastAsia="宋体" w:cs="宋体"/>
          <w:b w:val="0"/>
          <w:bCs w:val="0"/>
          <w:color w:val="auto"/>
          <w:kern w:val="2"/>
          <w:sz w:val="28"/>
          <w:szCs w:val="28"/>
          <w:lang w:val="en-US" w:eastAsia="zh-CN" w:bidi="ar-SA"/>
        </w:rPr>
        <w:t>3</w:t>
      </w:r>
      <w:r>
        <w:rPr>
          <w:rFonts w:hint="eastAsia" w:ascii="宋体" w:hAnsi="宋体" w:eastAsia="宋体" w:cs="宋体"/>
          <w:b w:val="0"/>
          <w:bCs w:val="0"/>
          <w:color w:val="auto"/>
          <w:kern w:val="2"/>
          <w:sz w:val="28"/>
          <w:szCs w:val="28"/>
          <w:lang w:val="zh-CN" w:eastAsia="zh-CN" w:bidi="ar-SA"/>
        </w:rPr>
        <w:t>项，省级信息化教学竞赛一等奖</w:t>
      </w:r>
      <w:r>
        <w:rPr>
          <w:rFonts w:hint="eastAsia" w:ascii="宋体" w:hAnsi="宋体" w:eastAsia="宋体" w:cs="宋体"/>
          <w:b w:val="0"/>
          <w:bCs w:val="0"/>
          <w:color w:val="auto"/>
          <w:kern w:val="2"/>
          <w:sz w:val="28"/>
          <w:szCs w:val="28"/>
          <w:lang w:val="en-US" w:eastAsia="zh-CN" w:bidi="ar-SA"/>
        </w:rPr>
        <w:t>2项，课堂教学竞赛</w:t>
      </w:r>
      <w:r>
        <w:rPr>
          <w:rFonts w:hint="eastAsia" w:ascii="宋体" w:hAnsi="宋体" w:eastAsia="宋体" w:cs="宋体"/>
          <w:b w:val="0"/>
          <w:bCs w:val="0"/>
          <w:color w:val="auto"/>
          <w:kern w:val="2"/>
          <w:sz w:val="28"/>
          <w:szCs w:val="28"/>
          <w:lang w:val="zh-CN" w:eastAsia="zh-CN" w:bidi="ar-SA"/>
        </w:rPr>
        <w:t>获奖数量在省内高校名列前茅；</w:t>
      </w:r>
      <w:r>
        <w:rPr>
          <w:rFonts w:hint="eastAsia" w:ascii="宋体" w:hAnsi="宋体" w:eastAsia="宋体" w:cs="宋体"/>
          <w:b w:val="0"/>
          <w:bCs w:val="0"/>
          <w:color w:val="auto"/>
          <w:kern w:val="2"/>
          <w:sz w:val="28"/>
          <w:szCs w:val="28"/>
          <w:lang w:val="en-US" w:eastAsia="zh-CN" w:bidi="ar-SA"/>
        </w:rPr>
        <w:t>分</w:t>
      </w:r>
      <w:r>
        <w:rPr>
          <w:rFonts w:hint="eastAsia" w:ascii="宋体" w:hAnsi="宋体" w:eastAsia="宋体" w:cs="宋体"/>
          <w:b w:val="0"/>
          <w:bCs w:val="0"/>
          <w:color w:val="auto"/>
          <w:kern w:val="2"/>
          <w:sz w:val="28"/>
          <w:szCs w:val="28"/>
          <w:lang w:val="zh-CN" w:eastAsia="zh-CN" w:bidi="ar-SA"/>
        </w:rPr>
        <w:t>获省级“新工科”与“新农科”项目</w:t>
      </w:r>
      <w:r>
        <w:rPr>
          <w:rFonts w:hint="eastAsia" w:ascii="宋体" w:hAnsi="宋体" w:eastAsia="宋体" w:cs="宋体"/>
          <w:b w:val="0"/>
          <w:bCs w:val="0"/>
          <w:color w:val="auto"/>
          <w:kern w:val="2"/>
          <w:sz w:val="28"/>
          <w:szCs w:val="28"/>
          <w:lang w:val="en-US" w:eastAsia="zh-CN" w:bidi="ar-SA"/>
        </w:rPr>
        <w:t>2</w:t>
      </w:r>
      <w:r>
        <w:rPr>
          <w:rFonts w:hint="eastAsia" w:ascii="宋体" w:hAnsi="宋体" w:eastAsia="宋体" w:cs="宋体"/>
          <w:b w:val="0"/>
          <w:bCs w:val="0"/>
          <w:color w:val="auto"/>
          <w:kern w:val="2"/>
          <w:sz w:val="28"/>
          <w:szCs w:val="28"/>
          <w:lang w:val="zh-CN" w:eastAsia="zh-CN" w:bidi="ar-SA"/>
        </w:rPr>
        <w:t>项</w:t>
      </w:r>
      <w:r>
        <w:rPr>
          <w:rFonts w:hint="eastAsia" w:ascii="宋体" w:hAnsi="宋体" w:eastAsia="宋体" w:cs="宋体"/>
          <w:b w:val="0"/>
          <w:bCs w:val="0"/>
          <w:color w:val="auto"/>
          <w:kern w:val="2"/>
          <w:sz w:val="28"/>
          <w:szCs w:val="28"/>
          <w:lang w:val="en-US" w:eastAsia="zh-CN" w:bidi="ar-SA"/>
        </w:rPr>
        <w:t>，</w:t>
      </w:r>
      <w:r>
        <w:rPr>
          <w:rFonts w:hint="eastAsia" w:ascii="宋体" w:hAnsi="宋体" w:eastAsia="宋体" w:cs="宋体"/>
          <w:b w:val="0"/>
          <w:bCs w:val="0"/>
          <w:color w:val="auto"/>
          <w:kern w:val="2"/>
          <w:sz w:val="28"/>
          <w:szCs w:val="28"/>
          <w:lang w:val="zh-CN" w:eastAsia="zh-CN" w:bidi="ar-SA"/>
        </w:rPr>
        <w:t>立项建设省部级教学研究与改革项目33项。</w:t>
      </w:r>
    </w:p>
    <w:p>
      <w:pPr>
        <w:pStyle w:val="5"/>
        <w:bidi w:val="0"/>
        <w:rPr>
          <w:rFonts w:hint="eastAsia" w:ascii="黑体" w:hAnsi="黑体" w:eastAsia="黑体" w:cs="黑体"/>
          <w:sz w:val="28"/>
          <w:szCs w:val="28"/>
          <w:lang w:val="en-US" w:eastAsia="zh-CN"/>
        </w:rPr>
      </w:pPr>
      <w:bookmarkStart w:id="86" w:name="_Toc21025"/>
      <w:r>
        <w:rPr>
          <w:rFonts w:hint="eastAsia" w:ascii="黑体" w:hAnsi="黑体" w:eastAsia="黑体" w:cs="黑体"/>
          <w:sz w:val="28"/>
          <w:szCs w:val="28"/>
          <w:lang w:val="en-US" w:eastAsia="zh-CN"/>
        </w:rPr>
        <w:t>（二）校地融合深度发展，积极培养应用型人才</w:t>
      </w:r>
      <w:bookmarkEnd w:id="80"/>
      <w:bookmarkEnd w:id="81"/>
      <w:bookmarkEnd w:id="82"/>
      <w:bookmarkEnd w:id="83"/>
      <w:bookmarkEnd w:id="86"/>
    </w:p>
    <w:p>
      <w:pPr>
        <w:keepNext w:val="0"/>
        <w:keepLines w:val="0"/>
        <w:pageBreakBefore w:val="0"/>
        <w:widowControl w:val="0"/>
        <w:kinsoku/>
        <w:wordWrap/>
        <w:overflowPunct/>
        <w:topLinePunct w:val="0"/>
        <w:autoSpaceDE/>
        <w:autoSpaceDN/>
        <w:bidi w:val="0"/>
        <w:adjustRightInd/>
        <w:snapToGrid/>
        <w:spacing w:line="360" w:lineRule="auto"/>
        <w:ind w:firstLine="843" w:firstLineChars="3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1.以文化人，提升学生人文素质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学校将地方优秀传统文化嵌入课程教学。一是开设了全校性《地方文化选讲》公共必修通识课程，开发了《潇湘文化概论》等本土教材，普及地方优秀传统文化教育，促进学生对地方优秀传统文化的认同和积累，提升学生文化素养。二是结合专业特点开设地方文化专题课程，凸显专业特色，培养高素质应用型人才。如：人文类专业开设《舜文化专题》《柳宗元专题》课程，旅游专业开设《永州旅游文化》课程，音乐舞蹈专业开设《地方优秀传统戏曲演唱》《瑶族舞蹈与编排》《祁阳小调碟蛊舞》《瑶族舞蹈》课程，土木专业开设《永州古民居古建筑调查与保护》实践课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以地方优秀传统文化涵养大学生思想政治素质。永州地方文化中蕴含着丰富的思想政治教育元素，舜帝的道德文化、柳宗元、陶铸的民本思想、周敦颐的廉洁文化等，都成为了学校开展大学生思想政治教育最鲜活的教材。“地方优秀文化涵养大学生思想政治素质的协同育人模式探索与实践”的“思政课”模式，得到了领导、专家的肯定和《湖南日报》的推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学校组织开展了丰富多彩的地方传统文化教育实践活动。实施“舜德学子培育工程”，每年开展“舜德学子”评选活动，实施榜样引领，近十年累计培育了近700名优秀学子典型，影响了数以万计的学生，该项目先后获得湖南省校园文化建设优秀成果一等奖、全国高校校园文化建设优秀成果奖，被列入教育部高校思政工作文化育人精品项目。学校建立了舜帝陵、柳子庙、李达故居等21个传统文化、红色文化教育及实践基地，在实践教育活动中陶冶学生心灵、锤炼学生品质。</w:t>
      </w:r>
    </w:p>
    <w:p>
      <w:pPr>
        <w:keepNext w:val="0"/>
        <w:keepLines w:val="0"/>
        <w:pageBreakBefore w:val="0"/>
        <w:widowControl w:val="0"/>
        <w:kinsoku/>
        <w:wordWrap/>
        <w:overflowPunct/>
        <w:topLinePunct w:val="0"/>
        <w:autoSpaceDE/>
        <w:autoSpaceDN/>
        <w:bidi w:val="0"/>
        <w:adjustRightInd/>
        <w:snapToGrid/>
        <w:spacing w:line="360" w:lineRule="auto"/>
        <w:ind w:firstLine="843" w:firstLineChars="3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2.师生协同，在服务地方中培养学生的创新精神和研究能力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（1）学校国学院是全国高校中少有的教学实体型学院，主要从事国学和地方文化研究。国学研究所发起成立了“国学读书会”， 教师带领学生“一起读书、一起考察、一起研究”，共同开展地方文化的挖掘与研究，学生在学习和研究中成长成才。读书会成员发表论文100余篇、出版学术著作近10部，有36人考上硕士、博士研究生。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化学与生物工程学院科研团队在校企合作、服务地方的过程中，带领学生进实验室、下车间、奔田野，一起做实验，一起搞调查，一起做研究，学生在真题实做中培养了创新精神和研究能力，找到了研究动力和方向。获全国大学生创新创业大赛省级一等奖、国家级银奖的项目——“烟秆新时空”“银杏茶”就是学生参与地方服务中的成果。该院学生在老师的指导下累计发表研究论文近30篇，其中国际顶级期刊2篇。近三年来，该院有100余名学生考取中国科学院等知名高校硕士研究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瑶文化研究团队带领学生在研究和传承瑶文化的同时，注重创新，师生共同创作的《盘王大歌》获全国大学生艺术展演声乐类一等奖，《跳盘王》获全国大学生艺术展演舞蹈类一等奖，《跳盘王》《过山》等三部自创瑶族舞蹈节目在中央电视台综艺频道《舞蹈世界》栏目播出，受到社会广泛好评和称赞。</w:t>
      </w:r>
    </w:p>
    <w:p>
      <w:pPr>
        <w:keepNext w:val="0"/>
        <w:keepLines w:val="0"/>
        <w:pageBreakBefore w:val="0"/>
        <w:widowControl w:val="0"/>
        <w:kinsoku/>
        <w:wordWrap/>
        <w:overflowPunct/>
        <w:topLinePunct w:val="0"/>
        <w:autoSpaceDE/>
        <w:autoSpaceDN/>
        <w:bidi w:val="0"/>
        <w:adjustRightInd/>
        <w:snapToGrid/>
        <w:spacing w:line="360" w:lineRule="auto"/>
        <w:ind w:firstLine="843" w:firstLineChars="3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3.校地协同，在合作共赢中培养学生的实践能力和应用能力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学校按照“人才共聘、平台共用、基地共建、技术共攻、成果共享”的合作原则，与永州市各县区、永州经济开发区等签订了战略合作协议，与湖南恒伟药业、永州异蛇科技等十余家地方知名企业签订了校企合作协议，开展“教学研产”全面合作。共建校企研究中心、重点实验室等科研平台28个、实践教学基地195个，5000余名学生参与了校地、校企合作的社会实践、实习实训、项目研究等活动，培养了学生的实践应用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学校学生参加大学生创新创业大赛，获各类奖项80余项，其中2017届毕业生李国琛率领的创业团队在第五届中国“互联网+”大学生双创大赛荣获全国金奖，实现了湖南省二本高校此项大赛全国金奖零的突破；国家级银奖2项、铜奖4项，省级一等奖4项、二等奖6项；学校连续三年荣获全省“互联网+”创新创业大赛优秀组织奖，连续二年荣获全国“互联网+”创新创业大赛优秀组织奖。在教育行政部门主办的各类学科比赛中，学校获国家级个人二等奖2项、三等奖3项，团体三等奖2项、优秀组织奖1项；省级个人一等奖45项、二等奖70项、三等奖124项，团体一等奖2项、二等奖1项。</w:t>
      </w:r>
    </w:p>
    <w:p>
      <w:pPr>
        <w:pStyle w:val="4"/>
        <w:jc w:val="left"/>
      </w:pPr>
      <w:bookmarkStart w:id="87" w:name="_Toc9292"/>
      <w:bookmarkStart w:id="88" w:name="_Toc2473"/>
      <w:r>
        <w:rPr>
          <w:rFonts w:hint="eastAsia" w:ascii="黑体" w:hAnsi="黑体" w:eastAsia="黑体"/>
          <w:sz w:val="30"/>
          <w:szCs w:val="30"/>
          <w:lang w:val="en-US" w:eastAsia="zh-CN"/>
        </w:rPr>
        <w:t>七</w:t>
      </w:r>
      <w:r>
        <w:rPr>
          <w:rFonts w:hint="eastAsia" w:ascii="黑体" w:hAnsi="黑体" w:eastAsia="黑体"/>
          <w:sz w:val="30"/>
          <w:szCs w:val="30"/>
        </w:rPr>
        <w:t>、存在问题及改进计划</w:t>
      </w:r>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1.加强内涵发展，进一步提升办学水平。</w:t>
      </w:r>
      <w:r>
        <w:rPr>
          <w:rFonts w:hint="eastAsia" w:ascii="宋体" w:hAnsi="宋体" w:eastAsia="宋体" w:cs="宋体"/>
          <w:b w:val="0"/>
          <w:bCs w:val="0"/>
          <w:color w:val="auto"/>
          <w:kern w:val="2"/>
          <w:sz w:val="28"/>
          <w:szCs w:val="28"/>
          <w:lang w:val="en-US" w:eastAsia="zh-CN" w:bidi="ar-SA"/>
        </w:rPr>
        <w:t>充分研讨“十四五”期间学校改革发展目标、主要任务和主要举措，进一步明确学校办学定位和人才培养目标，优化学科结构和布局，重点发展省级和校级应用特色学科；突出教学工作和人才培养的中心地位，以转型发展、内涵发展、特色发展为主线，深化综合改革，补短板，强内涵，把办学思路真正转到服务地方经济社会发展上来，转到培养高水平应用型人才上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2.坚定人才强校战略，加强师资队伍建设。</w:t>
      </w:r>
      <w:r>
        <w:rPr>
          <w:rFonts w:hint="eastAsia" w:ascii="宋体" w:hAnsi="宋体" w:eastAsia="宋体" w:cs="宋体"/>
          <w:b w:val="0"/>
          <w:bCs w:val="0"/>
          <w:color w:val="auto"/>
          <w:kern w:val="2"/>
          <w:sz w:val="28"/>
          <w:szCs w:val="28"/>
          <w:lang w:val="en-US" w:eastAsia="zh-CN" w:bidi="ar-SA"/>
        </w:rPr>
        <w:t>完善人才引进体系，构建人才工作联动机制，加大人才引进力度，继续做好“青苗支持计划”“英才支持计划”等人才培养工作，鼓励支持教师攻读博士学位，着力破解师资队伍结构性矛盾。提升师资队伍数量和层次，优化师资队伍结构；全面落实新时代教师队伍建设要求，实施师德“一票否决”，为师资队伍建设健康发展提供良好保障；出台《关于进一步加强科教协同育人实施方案》，推进科教协同育人，努力营造浓厚的学术氛围，加大对外学术交流力度，提高教师科研能力和学术水平。</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3.加强教学资源建设，推进信息化教学。</w:t>
      </w:r>
      <w:r>
        <w:rPr>
          <w:rFonts w:hint="eastAsia" w:ascii="宋体" w:hAnsi="宋体" w:eastAsia="宋体" w:cs="宋体"/>
          <w:b w:val="0"/>
          <w:bCs w:val="0"/>
          <w:color w:val="auto"/>
          <w:kern w:val="2"/>
          <w:sz w:val="28"/>
          <w:szCs w:val="28"/>
          <w:lang w:val="en-US" w:eastAsia="zh-CN" w:bidi="ar-SA"/>
        </w:rPr>
        <w:t>优化教学经费分配结构，更新教学设施设备，改善硬件环境，提高资源共享；加强“一流课程”建设，推进信息化教学，建设智慧教学平台，新增线上课程资源，适时认定一批校级优质课程资源，立项建设校级线上“金课”，推荐认定省级“金课”；加强教材建设，认定优秀校本教材；建设实验实训工程中心，加强虚拟仿真实验教学项目建设；提高教学资源对人才培养的保障力度，统筹各类实践教学资源，构建功能集约、资源共享、开放充分、运作高效的校企一体、产学研一体的专业类或跨专业类实践教学基地和平台，确保软、硬件环境均能满足高水平应用型人才培养需要。</w:t>
      </w:r>
      <w:bookmarkStart w:id="89" w:name="_Toc1768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黑体" w:eastAsia="黑体"/>
          <w:sz w:val="30"/>
          <w:szCs w:val="30"/>
        </w:rPr>
        <w:t>附录</w:t>
      </w:r>
      <w:bookmarkEnd w:id="89"/>
    </w:p>
    <w:p>
      <w:pPr>
        <w:pStyle w:val="5"/>
        <w:jc w:val="center"/>
      </w:pPr>
      <w:bookmarkStart w:id="90" w:name="_Toc2547"/>
      <w:bookmarkStart w:id="91" w:name="_Toc24056"/>
      <w:r>
        <w:rPr>
          <w:rFonts w:hint="eastAsia" w:ascii="黑体" w:hAnsi="黑体" w:eastAsia="黑体"/>
          <w:sz w:val="28"/>
          <w:szCs w:val="28"/>
        </w:rPr>
        <w:t>本科教学质量报告支撑数据</w:t>
      </w:r>
      <w:bookmarkEnd w:id="90"/>
      <w:bookmarkEnd w:id="91"/>
    </w:p>
    <w:p>
      <w:pPr>
        <w:jc w:val="left"/>
        <w:rPr>
          <w:rFonts w:hint="eastAsia" w:ascii="宋体" w:hAnsi="宋体" w:eastAsia="宋体" w:cs="宋体"/>
          <w:sz w:val="28"/>
          <w:szCs w:val="28"/>
          <w:u w:val="none"/>
          <w:lang w:val="en-US" w:eastAsia="zh-CN"/>
        </w:rPr>
      </w:pPr>
      <w:r>
        <w:rPr>
          <w:rFonts w:hint="eastAsia" w:ascii="宋体" w:hAnsi="宋体" w:eastAsia="宋体" w:cs="宋体"/>
          <w:sz w:val="28"/>
          <w:szCs w:val="28"/>
        </w:rPr>
        <w:t>1. 本科生占全日制在校生总数的比例</w:t>
      </w:r>
      <w:r>
        <w:rPr>
          <w:rFonts w:hint="eastAsia" w:ascii="宋体" w:hAnsi="宋体" w:eastAsia="宋体" w:cs="宋体"/>
          <w:sz w:val="28"/>
          <w:szCs w:val="28"/>
          <w:u w:val="none"/>
          <w:lang w:val="en-US" w:eastAsia="zh-CN"/>
        </w:rPr>
        <w:t>98.77%</w:t>
      </w:r>
    </w:p>
    <w:p>
      <w:pPr>
        <w:jc w:val="left"/>
      </w:pPr>
      <w:r>
        <w:rPr>
          <w:rFonts w:hint="eastAsia" w:ascii="宋体" w:hAnsi="宋体" w:eastAsia="宋体" w:cs="宋体"/>
          <w:sz w:val="28"/>
          <w:szCs w:val="28"/>
        </w:rPr>
        <w:t>2. 教师数量及结构</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64"/>
        <w:gridCol w:w="2096"/>
        <w:gridCol w:w="1020"/>
        <w:gridCol w:w="1611"/>
        <w:gridCol w:w="969"/>
        <w:gridCol w:w="1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3260" w:type="dxa"/>
            <w:gridSpan w:val="2"/>
            <w:vMerge w:val="restart"/>
            <w:vAlign w:val="center"/>
          </w:tcPr>
          <w:p>
            <w:pPr>
              <w:jc w:val="center"/>
              <w:rPr>
                <w:rFonts w:hint="eastAsia" w:ascii="宋体" w:hAnsi="宋体" w:eastAsia="宋体"/>
                <w:sz w:val="21"/>
                <w:szCs w:val="21"/>
              </w:rPr>
            </w:pPr>
            <w:r>
              <w:rPr>
                <w:rFonts w:hint="eastAsia" w:ascii="宋体" w:hAnsi="宋体" w:eastAsia="宋体"/>
                <w:sz w:val="21"/>
                <w:szCs w:val="21"/>
              </w:rPr>
              <w:t>项目</w:t>
            </w:r>
          </w:p>
        </w:tc>
        <w:tc>
          <w:tcPr>
            <w:tcW w:w="2631" w:type="dxa"/>
            <w:gridSpan w:val="2"/>
            <w:vAlign w:val="center"/>
          </w:tcPr>
          <w:p>
            <w:pPr>
              <w:jc w:val="center"/>
            </w:pPr>
            <w:r>
              <w:rPr>
                <w:rFonts w:hint="eastAsia" w:ascii="宋体" w:hAnsi="宋体" w:eastAsia="宋体"/>
                <w:sz w:val="21"/>
                <w:szCs w:val="21"/>
              </w:rPr>
              <w:t>专任教师</w:t>
            </w:r>
          </w:p>
        </w:tc>
        <w:tc>
          <w:tcPr>
            <w:tcW w:w="2631" w:type="dxa"/>
            <w:gridSpan w:val="2"/>
            <w:vAlign w:val="center"/>
          </w:tcPr>
          <w:p>
            <w:pPr>
              <w:jc w:val="center"/>
            </w:pPr>
            <w:r>
              <w:rPr>
                <w:rFonts w:hint="eastAsia" w:ascii="宋体" w:hAnsi="宋体" w:eastAsia="宋体"/>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3260" w:type="dxa"/>
            <w:gridSpan w:val="2"/>
            <w:vMerge w:val="continue"/>
            <w:vAlign w:val="center"/>
          </w:tcPr>
          <w:p>
            <w:pPr>
              <w:jc w:val="center"/>
            </w:pPr>
          </w:p>
        </w:tc>
        <w:tc>
          <w:tcPr>
            <w:tcW w:w="1020" w:type="dxa"/>
            <w:vAlign w:val="center"/>
          </w:tcPr>
          <w:p>
            <w:pPr>
              <w:jc w:val="center"/>
            </w:pPr>
            <w:r>
              <w:rPr>
                <w:rFonts w:hint="eastAsia" w:ascii="宋体" w:hAnsi="宋体" w:eastAsia="宋体"/>
                <w:sz w:val="21"/>
                <w:szCs w:val="21"/>
              </w:rPr>
              <w:t>数量</w:t>
            </w:r>
          </w:p>
        </w:tc>
        <w:tc>
          <w:tcPr>
            <w:tcW w:w="1611" w:type="dxa"/>
            <w:vAlign w:val="center"/>
          </w:tcPr>
          <w:p>
            <w:pPr>
              <w:jc w:val="center"/>
            </w:pPr>
            <w:r>
              <w:rPr>
                <w:rFonts w:hint="eastAsia" w:ascii="宋体" w:hAnsi="宋体" w:eastAsia="宋体"/>
                <w:sz w:val="21"/>
                <w:szCs w:val="21"/>
              </w:rPr>
              <w:t>比例（%）</w:t>
            </w:r>
          </w:p>
        </w:tc>
        <w:tc>
          <w:tcPr>
            <w:tcW w:w="969" w:type="dxa"/>
            <w:vAlign w:val="center"/>
          </w:tcPr>
          <w:p>
            <w:pPr>
              <w:jc w:val="center"/>
              <w:rPr>
                <w:rFonts w:hint="eastAsia" w:ascii="宋体" w:hAnsi="宋体" w:eastAsia="宋体"/>
                <w:sz w:val="21"/>
                <w:szCs w:val="21"/>
              </w:rPr>
            </w:pPr>
            <w:r>
              <w:rPr>
                <w:rFonts w:hint="eastAsia" w:ascii="宋体" w:hAnsi="宋体" w:eastAsia="宋体"/>
                <w:sz w:val="21"/>
                <w:szCs w:val="21"/>
              </w:rPr>
              <w:t>数量</w:t>
            </w:r>
          </w:p>
        </w:tc>
        <w:tc>
          <w:tcPr>
            <w:tcW w:w="1662" w:type="dxa"/>
            <w:vAlign w:val="center"/>
          </w:tcPr>
          <w:p>
            <w:pPr>
              <w:jc w:val="center"/>
            </w:pPr>
            <w:r>
              <w:rPr>
                <w:rFonts w:hint="eastAsia" w:ascii="宋体" w:hAnsi="宋体" w:eastAsia="宋体"/>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3260" w:type="dxa"/>
            <w:gridSpan w:val="2"/>
            <w:vAlign w:val="center"/>
          </w:tcPr>
          <w:p>
            <w:pPr>
              <w:jc w:val="center"/>
            </w:pPr>
            <w:r>
              <w:rPr>
                <w:rFonts w:hint="eastAsia" w:ascii="宋体" w:hAnsi="宋体" w:eastAsia="宋体"/>
                <w:b/>
                <w:sz w:val="21"/>
                <w:szCs w:val="21"/>
              </w:rPr>
              <w:t>总计</w:t>
            </w:r>
          </w:p>
        </w:tc>
        <w:tc>
          <w:tcPr>
            <w:tcW w:w="1020" w:type="dxa"/>
            <w:vAlign w:val="center"/>
          </w:tcPr>
          <w:p>
            <w:pPr>
              <w:jc w:val="center"/>
            </w:pPr>
            <w:r>
              <w:rPr>
                <w:rFonts w:hint="eastAsia"/>
                <w:lang w:val="en-US" w:eastAsia="zh-CN"/>
              </w:rPr>
              <w:t>869</w:t>
            </w:r>
          </w:p>
        </w:tc>
        <w:tc>
          <w:tcPr>
            <w:tcW w:w="1611" w:type="dxa"/>
            <w:vAlign w:val="center"/>
          </w:tcPr>
          <w:p>
            <w:pPr>
              <w:jc w:val="center"/>
            </w:pPr>
            <w:r>
              <w:rPr>
                <w:rFonts w:hint="eastAsia" w:ascii="宋体" w:hAnsi="宋体" w:eastAsia="宋体"/>
                <w:sz w:val="21"/>
                <w:szCs w:val="21"/>
              </w:rPr>
              <w:t>/</w:t>
            </w:r>
          </w:p>
        </w:tc>
        <w:tc>
          <w:tcPr>
            <w:tcW w:w="969" w:type="dxa"/>
            <w:vAlign w:val="center"/>
          </w:tcPr>
          <w:p>
            <w:pPr>
              <w:jc w:val="center"/>
              <w:rPr>
                <w:rFonts w:hint="eastAsia" w:ascii="宋体" w:hAnsi="宋体" w:eastAsia="宋体"/>
                <w:sz w:val="21"/>
                <w:szCs w:val="21"/>
              </w:rPr>
            </w:pPr>
            <w:r>
              <w:rPr>
                <w:rFonts w:hint="eastAsia"/>
                <w:lang w:val="en-US" w:eastAsia="zh-CN"/>
              </w:rPr>
              <w:t>130</w:t>
            </w:r>
          </w:p>
        </w:tc>
        <w:tc>
          <w:tcPr>
            <w:tcW w:w="1662" w:type="dxa"/>
            <w:vAlign w:val="center"/>
          </w:tcPr>
          <w:p>
            <w:pPr>
              <w:jc w:val="center"/>
            </w:pPr>
            <w:r>
              <w:rPr>
                <w:rFonts w:hint="eastAsia" w:ascii="宋体" w:hAnsi="宋体" w:eastAsia="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jc w:val="center"/>
            </w:pPr>
            <w:r>
              <w:rPr>
                <w:rFonts w:hint="eastAsia" w:ascii="宋体" w:hAnsi="宋体" w:eastAsia="宋体"/>
                <w:b/>
                <w:sz w:val="21"/>
                <w:szCs w:val="21"/>
              </w:rPr>
              <w:t>职称</w:t>
            </w:r>
          </w:p>
        </w:tc>
        <w:tc>
          <w:tcPr>
            <w:tcW w:w="2096" w:type="dxa"/>
            <w:vAlign w:val="center"/>
          </w:tcPr>
          <w:p>
            <w:pPr>
              <w:jc w:val="center"/>
            </w:pPr>
            <w:r>
              <w:rPr>
                <w:rFonts w:hint="eastAsia" w:ascii="宋体" w:hAnsi="宋体" w:eastAsia="宋体"/>
                <w:b/>
                <w:sz w:val="21"/>
                <w:szCs w:val="21"/>
              </w:rPr>
              <w:t>正高级</w:t>
            </w:r>
          </w:p>
        </w:tc>
        <w:tc>
          <w:tcPr>
            <w:tcW w:w="1020" w:type="dxa"/>
            <w:vAlign w:val="center"/>
          </w:tcPr>
          <w:p>
            <w:pPr>
              <w:jc w:val="center"/>
            </w:pPr>
            <w:r>
              <w:rPr>
                <w:rFonts w:hint="eastAsia"/>
                <w:lang w:val="en-US" w:eastAsia="zh-CN"/>
              </w:rPr>
              <w:t>102</w:t>
            </w:r>
          </w:p>
        </w:tc>
        <w:tc>
          <w:tcPr>
            <w:tcW w:w="1611" w:type="dxa"/>
            <w:vAlign w:val="center"/>
          </w:tcPr>
          <w:p>
            <w:pPr>
              <w:jc w:val="center"/>
            </w:pPr>
            <w:r>
              <w:rPr>
                <w:rFonts w:hint="eastAsia"/>
                <w:lang w:val="en-US" w:eastAsia="zh-CN"/>
              </w:rPr>
              <w:t>11.74</w:t>
            </w:r>
          </w:p>
        </w:tc>
        <w:tc>
          <w:tcPr>
            <w:tcW w:w="969" w:type="dxa"/>
            <w:vAlign w:val="center"/>
          </w:tcPr>
          <w:p>
            <w:pPr>
              <w:jc w:val="center"/>
            </w:pPr>
            <w:r>
              <w:rPr>
                <w:rFonts w:hint="eastAsia"/>
                <w:lang w:val="en-US" w:eastAsia="zh-CN"/>
              </w:rPr>
              <w:t>20</w:t>
            </w:r>
          </w:p>
        </w:tc>
        <w:tc>
          <w:tcPr>
            <w:tcW w:w="1662" w:type="dxa"/>
            <w:vAlign w:val="center"/>
          </w:tcPr>
          <w:p>
            <w:pPr>
              <w:jc w:val="center"/>
            </w:pPr>
            <w:r>
              <w:rPr>
                <w:rFonts w:hint="eastAsia"/>
                <w:lang w:val="en-US" w:eastAsia="zh-CN"/>
              </w:rPr>
              <w:t>15.38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其中教授</w:t>
            </w:r>
          </w:p>
        </w:tc>
        <w:tc>
          <w:tcPr>
            <w:tcW w:w="1020" w:type="dxa"/>
            <w:vAlign w:val="center"/>
          </w:tcPr>
          <w:p>
            <w:pPr>
              <w:jc w:val="center"/>
            </w:pPr>
            <w:r>
              <w:rPr>
                <w:rFonts w:hint="eastAsia"/>
                <w:lang w:val="en-US" w:eastAsia="zh-CN"/>
              </w:rPr>
              <w:t>80</w:t>
            </w:r>
          </w:p>
        </w:tc>
        <w:tc>
          <w:tcPr>
            <w:tcW w:w="1611" w:type="dxa"/>
            <w:vAlign w:val="center"/>
          </w:tcPr>
          <w:p>
            <w:pPr>
              <w:jc w:val="center"/>
            </w:pPr>
            <w:r>
              <w:rPr>
                <w:rFonts w:hint="eastAsia"/>
                <w:lang w:val="en-US" w:eastAsia="zh-CN"/>
              </w:rPr>
              <w:t>9.21</w:t>
            </w:r>
          </w:p>
        </w:tc>
        <w:tc>
          <w:tcPr>
            <w:tcW w:w="969" w:type="dxa"/>
            <w:vAlign w:val="center"/>
          </w:tcPr>
          <w:p>
            <w:pPr>
              <w:jc w:val="center"/>
            </w:pPr>
            <w:r>
              <w:rPr>
                <w:rFonts w:hint="eastAsia"/>
                <w:lang w:val="en-US" w:eastAsia="zh-CN"/>
              </w:rPr>
              <w:t>16</w:t>
            </w:r>
          </w:p>
        </w:tc>
        <w:tc>
          <w:tcPr>
            <w:tcW w:w="1662" w:type="dxa"/>
            <w:vAlign w:val="center"/>
          </w:tcPr>
          <w:p>
            <w:pPr>
              <w:jc w:val="center"/>
            </w:pPr>
            <w:r>
              <w:rPr>
                <w:rFonts w:hint="eastAsia"/>
                <w:lang w:val="en-US" w:eastAsia="zh-CN"/>
              </w:rPr>
              <w:t>12.31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副高级</w:t>
            </w:r>
          </w:p>
        </w:tc>
        <w:tc>
          <w:tcPr>
            <w:tcW w:w="1020" w:type="dxa"/>
            <w:vAlign w:val="center"/>
          </w:tcPr>
          <w:p>
            <w:pPr>
              <w:jc w:val="center"/>
            </w:pPr>
            <w:r>
              <w:rPr>
                <w:rFonts w:hint="eastAsia"/>
                <w:lang w:val="en-US" w:eastAsia="zh-CN"/>
              </w:rPr>
              <w:t>258</w:t>
            </w:r>
          </w:p>
        </w:tc>
        <w:tc>
          <w:tcPr>
            <w:tcW w:w="1611" w:type="dxa"/>
            <w:vAlign w:val="center"/>
          </w:tcPr>
          <w:p>
            <w:pPr>
              <w:jc w:val="center"/>
            </w:pPr>
            <w:r>
              <w:rPr>
                <w:rFonts w:hint="eastAsia"/>
                <w:lang w:val="en-US" w:eastAsia="zh-CN"/>
              </w:rPr>
              <w:t>29.69</w:t>
            </w:r>
          </w:p>
        </w:tc>
        <w:tc>
          <w:tcPr>
            <w:tcW w:w="969" w:type="dxa"/>
            <w:vAlign w:val="center"/>
          </w:tcPr>
          <w:p>
            <w:pPr>
              <w:jc w:val="center"/>
            </w:pPr>
            <w:r>
              <w:rPr>
                <w:rFonts w:hint="eastAsia"/>
                <w:lang w:val="en-US" w:eastAsia="zh-CN"/>
              </w:rPr>
              <w:t>41</w:t>
            </w:r>
          </w:p>
        </w:tc>
        <w:tc>
          <w:tcPr>
            <w:tcW w:w="1662" w:type="dxa"/>
            <w:vAlign w:val="center"/>
          </w:tcPr>
          <w:p>
            <w:pPr>
              <w:jc w:val="center"/>
            </w:pPr>
            <w:r>
              <w:rPr>
                <w:rFonts w:hint="eastAsia"/>
                <w:lang w:val="en-US" w:eastAsia="zh-CN"/>
              </w:rPr>
              <w:t>31.54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其中副教授</w:t>
            </w:r>
          </w:p>
        </w:tc>
        <w:tc>
          <w:tcPr>
            <w:tcW w:w="1020" w:type="dxa"/>
            <w:vAlign w:val="center"/>
          </w:tcPr>
          <w:p>
            <w:pPr>
              <w:jc w:val="center"/>
            </w:pPr>
            <w:r>
              <w:rPr>
                <w:rFonts w:hint="eastAsia"/>
                <w:lang w:val="en-US" w:eastAsia="zh-CN"/>
              </w:rPr>
              <w:t>197</w:t>
            </w:r>
          </w:p>
        </w:tc>
        <w:tc>
          <w:tcPr>
            <w:tcW w:w="1611" w:type="dxa"/>
            <w:vAlign w:val="center"/>
          </w:tcPr>
          <w:p>
            <w:pPr>
              <w:jc w:val="center"/>
            </w:pPr>
            <w:r>
              <w:rPr>
                <w:rFonts w:hint="eastAsia"/>
                <w:lang w:val="en-US" w:eastAsia="zh-CN"/>
              </w:rPr>
              <w:t>22.67</w:t>
            </w:r>
          </w:p>
        </w:tc>
        <w:tc>
          <w:tcPr>
            <w:tcW w:w="969" w:type="dxa"/>
            <w:vAlign w:val="center"/>
          </w:tcPr>
          <w:p>
            <w:pPr>
              <w:jc w:val="center"/>
            </w:pPr>
            <w:r>
              <w:rPr>
                <w:rFonts w:hint="eastAsia"/>
                <w:lang w:val="en-US" w:eastAsia="zh-CN"/>
              </w:rPr>
              <w:t>6</w:t>
            </w:r>
          </w:p>
        </w:tc>
        <w:tc>
          <w:tcPr>
            <w:tcW w:w="1662" w:type="dxa"/>
            <w:vAlign w:val="center"/>
          </w:tcPr>
          <w:p>
            <w:pPr>
              <w:jc w:val="center"/>
            </w:pPr>
            <w:r>
              <w:rPr>
                <w:rFonts w:hint="eastAsia"/>
                <w:lang w:val="en-US" w:eastAsia="zh-CN"/>
              </w:rPr>
              <w:t>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中级</w:t>
            </w:r>
          </w:p>
        </w:tc>
        <w:tc>
          <w:tcPr>
            <w:tcW w:w="1020" w:type="dxa"/>
            <w:vAlign w:val="center"/>
          </w:tcPr>
          <w:p>
            <w:pPr>
              <w:jc w:val="center"/>
            </w:pPr>
            <w:r>
              <w:rPr>
                <w:rFonts w:hint="eastAsia"/>
                <w:lang w:val="en-US" w:eastAsia="zh-CN"/>
              </w:rPr>
              <w:t>352</w:t>
            </w:r>
          </w:p>
        </w:tc>
        <w:tc>
          <w:tcPr>
            <w:tcW w:w="1611" w:type="dxa"/>
            <w:vAlign w:val="center"/>
          </w:tcPr>
          <w:p>
            <w:pPr>
              <w:jc w:val="center"/>
            </w:pPr>
            <w:r>
              <w:rPr>
                <w:rFonts w:hint="eastAsia"/>
                <w:lang w:val="en-US" w:eastAsia="zh-CN"/>
              </w:rPr>
              <w:t>40.51</w:t>
            </w:r>
          </w:p>
        </w:tc>
        <w:tc>
          <w:tcPr>
            <w:tcW w:w="969" w:type="dxa"/>
            <w:vAlign w:val="center"/>
          </w:tcPr>
          <w:p>
            <w:pPr>
              <w:jc w:val="center"/>
            </w:pPr>
            <w:r>
              <w:rPr>
                <w:rFonts w:hint="eastAsia"/>
                <w:lang w:val="en-US" w:eastAsia="zh-CN"/>
              </w:rPr>
              <w:t>33</w:t>
            </w:r>
          </w:p>
        </w:tc>
        <w:tc>
          <w:tcPr>
            <w:tcW w:w="1662" w:type="dxa"/>
            <w:vAlign w:val="center"/>
          </w:tcPr>
          <w:p>
            <w:pPr>
              <w:jc w:val="center"/>
            </w:pPr>
            <w:r>
              <w:rPr>
                <w:rFonts w:hint="eastAsia"/>
                <w:lang w:val="en-US" w:eastAsia="zh-CN"/>
              </w:rPr>
              <w:t>25.38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其中讲师</w:t>
            </w:r>
          </w:p>
        </w:tc>
        <w:tc>
          <w:tcPr>
            <w:tcW w:w="1020" w:type="dxa"/>
            <w:vAlign w:val="center"/>
          </w:tcPr>
          <w:p>
            <w:pPr>
              <w:jc w:val="center"/>
            </w:pPr>
            <w:r>
              <w:rPr>
                <w:rFonts w:hint="eastAsia"/>
                <w:lang w:val="en-US" w:eastAsia="zh-CN"/>
              </w:rPr>
              <w:t>316</w:t>
            </w:r>
          </w:p>
        </w:tc>
        <w:tc>
          <w:tcPr>
            <w:tcW w:w="1611" w:type="dxa"/>
            <w:vAlign w:val="center"/>
          </w:tcPr>
          <w:p>
            <w:pPr>
              <w:jc w:val="center"/>
            </w:pPr>
            <w:r>
              <w:rPr>
                <w:rFonts w:hint="eastAsia"/>
                <w:lang w:val="en-US" w:eastAsia="zh-CN"/>
              </w:rPr>
              <w:t>36.36</w:t>
            </w:r>
          </w:p>
        </w:tc>
        <w:tc>
          <w:tcPr>
            <w:tcW w:w="969" w:type="dxa"/>
            <w:vAlign w:val="center"/>
          </w:tcPr>
          <w:p>
            <w:pPr>
              <w:jc w:val="center"/>
            </w:pPr>
            <w:r>
              <w:rPr>
                <w:rFonts w:hint="eastAsia"/>
                <w:lang w:val="en-US" w:eastAsia="zh-CN"/>
              </w:rPr>
              <w:t>3</w:t>
            </w:r>
          </w:p>
        </w:tc>
        <w:tc>
          <w:tcPr>
            <w:tcW w:w="1662" w:type="dxa"/>
            <w:vAlign w:val="center"/>
          </w:tcPr>
          <w:p>
            <w:pPr>
              <w:jc w:val="center"/>
            </w:pPr>
            <w:r>
              <w:rPr>
                <w:rFonts w:hint="eastAsia"/>
                <w:lang w:val="en-US" w:eastAsia="zh-CN"/>
              </w:rPr>
              <w:t>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初级</w:t>
            </w:r>
          </w:p>
        </w:tc>
        <w:tc>
          <w:tcPr>
            <w:tcW w:w="1020" w:type="dxa"/>
            <w:vAlign w:val="center"/>
          </w:tcPr>
          <w:p>
            <w:pPr>
              <w:jc w:val="center"/>
            </w:pPr>
            <w:r>
              <w:rPr>
                <w:rFonts w:hint="eastAsia"/>
                <w:lang w:val="en-US" w:eastAsia="zh-CN"/>
              </w:rPr>
              <w:t>69</w:t>
            </w:r>
          </w:p>
        </w:tc>
        <w:tc>
          <w:tcPr>
            <w:tcW w:w="1611" w:type="dxa"/>
            <w:vAlign w:val="center"/>
          </w:tcPr>
          <w:p>
            <w:pPr>
              <w:jc w:val="center"/>
            </w:pPr>
            <w:r>
              <w:rPr>
                <w:rFonts w:hint="eastAsia"/>
                <w:lang w:val="en-US" w:eastAsia="zh-CN"/>
              </w:rPr>
              <w:t>7.94</w:t>
            </w:r>
          </w:p>
        </w:tc>
        <w:tc>
          <w:tcPr>
            <w:tcW w:w="969" w:type="dxa"/>
            <w:vAlign w:val="center"/>
          </w:tcPr>
          <w:p>
            <w:pPr>
              <w:jc w:val="center"/>
            </w:pPr>
            <w:r>
              <w:rPr>
                <w:rFonts w:hint="eastAsia"/>
                <w:lang w:val="en-US" w:eastAsia="zh-CN"/>
              </w:rPr>
              <w:t>1</w:t>
            </w:r>
          </w:p>
        </w:tc>
        <w:tc>
          <w:tcPr>
            <w:tcW w:w="1662" w:type="dxa"/>
            <w:vAlign w:val="center"/>
          </w:tcPr>
          <w:p>
            <w:pPr>
              <w:jc w:val="center"/>
            </w:pPr>
            <w:r>
              <w:rPr>
                <w:rFonts w:hint="eastAsia"/>
                <w:lang w:val="en-US" w:eastAsia="zh-CN"/>
              </w:rPr>
              <w:t>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其中助教</w:t>
            </w:r>
          </w:p>
        </w:tc>
        <w:tc>
          <w:tcPr>
            <w:tcW w:w="1020" w:type="dxa"/>
            <w:vAlign w:val="center"/>
          </w:tcPr>
          <w:p>
            <w:pPr>
              <w:jc w:val="center"/>
            </w:pPr>
            <w:r>
              <w:rPr>
                <w:rFonts w:hint="eastAsia"/>
                <w:lang w:val="en-US" w:eastAsia="zh-CN"/>
              </w:rPr>
              <w:t>65</w:t>
            </w:r>
          </w:p>
        </w:tc>
        <w:tc>
          <w:tcPr>
            <w:tcW w:w="1611" w:type="dxa"/>
            <w:vAlign w:val="center"/>
          </w:tcPr>
          <w:p>
            <w:pPr>
              <w:jc w:val="center"/>
            </w:pPr>
            <w:r>
              <w:rPr>
                <w:rFonts w:hint="eastAsia"/>
                <w:lang w:val="en-US" w:eastAsia="zh-CN"/>
              </w:rPr>
              <w:t>7.48</w:t>
            </w:r>
          </w:p>
        </w:tc>
        <w:tc>
          <w:tcPr>
            <w:tcW w:w="969" w:type="dxa"/>
            <w:vAlign w:val="center"/>
          </w:tcPr>
          <w:p>
            <w:pPr>
              <w:jc w:val="center"/>
            </w:pPr>
            <w:r>
              <w:rPr>
                <w:rFonts w:hint="eastAsia"/>
                <w:lang w:val="en-US" w:eastAsia="zh-CN"/>
              </w:rPr>
              <w:t>0</w:t>
            </w:r>
          </w:p>
        </w:tc>
        <w:tc>
          <w:tcPr>
            <w:tcW w:w="1662" w:type="dxa"/>
            <w:vAlign w:val="center"/>
          </w:tcPr>
          <w:p>
            <w:pPr>
              <w:jc w:val="center"/>
            </w:pPr>
            <w:r>
              <w:rPr>
                <w:rFonts w:hint="eastAsia"/>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未评级</w:t>
            </w:r>
          </w:p>
        </w:tc>
        <w:tc>
          <w:tcPr>
            <w:tcW w:w="1020" w:type="dxa"/>
            <w:vAlign w:val="center"/>
          </w:tcPr>
          <w:p>
            <w:pPr>
              <w:jc w:val="center"/>
            </w:pPr>
            <w:r>
              <w:rPr>
                <w:rFonts w:hint="eastAsia"/>
                <w:lang w:val="en-US" w:eastAsia="zh-CN"/>
              </w:rPr>
              <w:t>88</w:t>
            </w:r>
          </w:p>
        </w:tc>
        <w:tc>
          <w:tcPr>
            <w:tcW w:w="1611" w:type="dxa"/>
            <w:vAlign w:val="center"/>
          </w:tcPr>
          <w:p>
            <w:pPr>
              <w:jc w:val="center"/>
            </w:pPr>
            <w:r>
              <w:rPr>
                <w:rFonts w:hint="eastAsia"/>
                <w:lang w:val="en-US" w:eastAsia="zh-CN"/>
              </w:rPr>
              <w:t>10.13</w:t>
            </w:r>
          </w:p>
        </w:tc>
        <w:tc>
          <w:tcPr>
            <w:tcW w:w="969" w:type="dxa"/>
            <w:vAlign w:val="center"/>
          </w:tcPr>
          <w:p>
            <w:pPr>
              <w:jc w:val="center"/>
            </w:pPr>
            <w:r>
              <w:rPr>
                <w:rFonts w:hint="eastAsia"/>
                <w:lang w:val="en-US" w:eastAsia="zh-CN"/>
              </w:rPr>
              <w:t>35</w:t>
            </w:r>
          </w:p>
        </w:tc>
        <w:tc>
          <w:tcPr>
            <w:tcW w:w="1662" w:type="dxa"/>
            <w:vAlign w:val="center"/>
          </w:tcPr>
          <w:p>
            <w:pPr>
              <w:jc w:val="center"/>
            </w:pPr>
            <w:r>
              <w:rPr>
                <w:rFonts w:hint="eastAsia"/>
                <w:lang w:val="en-US" w:eastAsia="zh-CN"/>
              </w:rPr>
              <w:t>26.92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jc w:val="center"/>
            </w:pPr>
            <w:r>
              <w:rPr>
                <w:rFonts w:hint="eastAsia" w:ascii="宋体" w:hAnsi="宋体" w:eastAsia="宋体"/>
                <w:b/>
                <w:sz w:val="21"/>
                <w:szCs w:val="21"/>
              </w:rPr>
              <w:t>最高学位</w:t>
            </w:r>
          </w:p>
        </w:tc>
        <w:tc>
          <w:tcPr>
            <w:tcW w:w="2096" w:type="dxa"/>
            <w:vAlign w:val="center"/>
          </w:tcPr>
          <w:p>
            <w:pPr>
              <w:jc w:val="center"/>
            </w:pPr>
            <w:r>
              <w:rPr>
                <w:rFonts w:hint="eastAsia" w:ascii="宋体" w:hAnsi="宋体" w:eastAsia="宋体"/>
                <w:b/>
                <w:sz w:val="21"/>
                <w:szCs w:val="21"/>
              </w:rPr>
              <w:t>博士</w:t>
            </w:r>
          </w:p>
        </w:tc>
        <w:tc>
          <w:tcPr>
            <w:tcW w:w="1020" w:type="dxa"/>
            <w:vAlign w:val="center"/>
          </w:tcPr>
          <w:p>
            <w:pPr>
              <w:jc w:val="center"/>
            </w:pPr>
            <w:r>
              <w:rPr>
                <w:rFonts w:hint="eastAsia"/>
                <w:lang w:val="en-US" w:eastAsia="zh-CN"/>
              </w:rPr>
              <w:t>241</w:t>
            </w:r>
          </w:p>
        </w:tc>
        <w:tc>
          <w:tcPr>
            <w:tcW w:w="1611" w:type="dxa"/>
            <w:vAlign w:val="center"/>
          </w:tcPr>
          <w:p>
            <w:pPr>
              <w:jc w:val="center"/>
            </w:pPr>
            <w:r>
              <w:rPr>
                <w:rFonts w:hint="eastAsia"/>
                <w:lang w:val="en-US" w:eastAsia="zh-CN"/>
              </w:rPr>
              <w:t>27.73</w:t>
            </w:r>
          </w:p>
        </w:tc>
        <w:tc>
          <w:tcPr>
            <w:tcW w:w="969" w:type="dxa"/>
            <w:vAlign w:val="center"/>
          </w:tcPr>
          <w:p>
            <w:pPr>
              <w:jc w:val="center"/>
            </w:pPr>
            <w:r>
              <w:rPr>
                <w:rFonts w:hint="eastAsia"/>
                <w:lang w:val="en-US" w:eastAsia="zh-CN"/>
              </w:rPr>
              <w:t>10</w:t>
            </w:r>
          </w:p>
        </w:tc>
        <w:tc>
          <w:tcPr>
            <w:tcW w:w="1662" w:type="dxa"/>
            <w:vAlign w:val="center"/>
          </w:tcPr>
          <w:p>
            <w:pPr>
              <w:jc w:val="center"/>
            </w:pPr>
            <w:r>
              <w:rPr>
                <w:rFonts w:hint="eastAsia"/>
                <w:lang w:val="en-US" w:eastAsia="zh-CN"/>
              </w:rPr>
              <w:t>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硕士</w:t>
            </w:r>
          </w:p>
        </w:tc>
        <w:tc>
          <w:tcPr>
            <w:tcW w:w="1020" w:type="dxa"/>
            <w:vAlign w:val="center"/>
          </w:tcPr>
          <w:p>
            <w:pPr>
              <w:jc w:val="center"/>
            </w:pPr>
            <w:r>
              <w:rPr>
                <w:rFonts w:hint="eastAsia"/>
                <w:lang w:val="en-US" w:eastAsia="zh-CN"/>
              </w:rPr>
              <w:t>561</w:t>
            </w:r>
          </w:p>
        </w:tc>
        <w:tc>
          <w:tcPr>
            <w:tcW w:w="1611" w:type="dxa"/>
            <w:vAlign w:val="center"/>
          </w:tcPr>
          <w:p>
            <w:pPr>
              <w:jc w:val="center"/>
            </w:pPr>
            <w:r>
              <w:rPr>
                <w:rFonts w:hint="eastAsia"/>
                <w:lang w:val="en-US" w:eastAsia="zh-CN"/>
              </w:rPr>
              <w:t>64.56</w:t>
            </w:r>
          </w:p>
        </w:tc>
        <w:tc>
          <w:tcPr>
            <w:tcW w:w="969" w:type="dxa"/>
            <w:vAlign w:val="center"/>
          </w:tcPr>
          <w:p>
            <w:pPr>
              <w:jc w:val="center"/>
            </w:pPr>
            <w:r>
              <w:rPr>
                <w:rFonts w:hint="eastAsia"/>
                <w:lang w:val="en-US" w:eastAsia="zh-CN"/>
              </w:rPr>
              <w:t>44</w:t>
            </w:r>
          </w:p>
        </w:tc>
        <w:tc>
          <w:tcPr>
            <w:tcW w:w="1662" w:type="dxa"/>
            <w:vAlign w:val="center"/>
          </w:tcPr>
          <w:p>
            <w:pPr>
              <w:jc w:val="center"/>
            </w:pPr>
            <w:r>
              <w:rPr>
                <w:rFonts w:hint="eastAsia"/>
                <w:lang w:val="en-US" w:eastAsia="zh-CN"/>
              </w:rPr>
              <w:t>33.85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学士</w:t>
            </w:r>
          </w:p>
        </w:tc>
        <w:tc>
          <w:tcPr>
            <w:tcW w:w="1020" w:type="dxa"/>
            <w:vAlign w:val="center"/>
          </w:tcPr>
          <w:p>
            <w:pPr>
              <w:jc w:val="center"/>
            </w:pPr>
            <w:r>
              <w:rPr>
                <w:rFonts w:hint="eastAsia"/>
                <w:lang w:val="en-US" w:eastAsia="zh-CN"/>
              </w:rPr>
              <w:t>56</w:t>
            </w:r>
          </w:p>
        </w:tc>
        <w:tc>
          <w:tcPr>
            <w:tcW w:w="1611" w:type="dxa"/>
            <w:vAlign w:val="center"/>
          </w:tcPr>
          <w:p>
            <w:pPr>
              <w:jc w:val="center"/>
            </w:pPr>
            <w:r>
              <w:rPr>
                <w:rFonts w:hint="eastAsia"/>
                <w:lang w:val="en-US" w:eastAsia="zh-CN"/>
              </w:rPr>
              <w:t>6.44</w:t>
            </w:r>
          </w:p>
        </w:tc>
        <w:tc>
          <w:tcPr>
            <w:tcW w:w="969" w:type="dxa"/>
            <w:vAlign w:val="center"/>
          </w:tcPr>
          <w:p>
            <w:pPr>
              <w:jc w:val="center"/>
            </w:pPr>
            <w:r>
              <w:rPr>
                <w:rFonts w:hint="eastAsia"/>
                <w:lang w:val="en-US" w:eastAsia="zh-CN"/>
              </w:rPr>
              <w:t>63</w:t>
            </w:r>
          </w:p>
        </w:tc>
        <w:tc>
          <w:tcPr>
            <w:tcW w:w="1662" w:type="dxa"/>
            <w:vAlign w:val="center"/>
          </w:tcPr>
          <w:p>
            <w:pPr>
              <w:jc w:val="center"/>
            </w:pPr>
            <w:r>
              <w:rPr>
                <w:rFonts w:hint="eastAsia"/>
                <w:lang w:val="en-US" w:eastAsia="zh-CN"/>
              </w:rPr>
              <w:t>48.46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无学位</w:t>
            </w:r>
          </w:p>
        </w:tc>
        <w:tc>
          <w:tcPr>
            <w:tcW w:w="1020" w:type="dxa"/>
            <w:vAlign w:val="center"/>
          </w:tcPr>
          <w:p>
            <w:pPr>
              <w:jc w:val="center"/>
            </w:pPr>
            <w:r>
              <w:rPr>
                <w:rFonts w:hint="eastAsia"/>
                <w:lang w:val="en-US" w:eastAsia="zh-CN"/>
              </w:rPr>
              <w:t>11</w:t>
            </w:r>
          </w:p>
        </w:tc>
        <w:tc>
          <w:tcPr>
            <w:tcW w:w="1611" w:type="dxa"/>
            <w:vAlign w:val="center"/>
          </w:tcPr>
          <w:p>
            <w:pPr>
              <w:jc w:val="center"/>
            </w:pPr>
            <w:r>
              <w:rPr>
                <w:rFonts w:hint="eastAsia"/>
                <w:lang w:val="en-US" w:eastAsia="zh-CN"/>
              </w:rPr>
              <w:t>1.27</w:t>
            </w:r>
          </w:p>
        </w:tc>
        <w:tc>
          <w:tcPr>
            <w:tcW w:w="969" w:type="dxa"/>
            <w:vAlign w:val="center"/>
          </w:tcPr>
          <w:p>
            <w:pPr>
              <w:jc w:val="center"/>
            </w:pPr>
            <w:r>
              <w:rPr>
                <w:rFonts w:hint="eastAsia"/>
                <w:lang w:val="en-US" w:eastAsia="zh-CN"/>
              </w:rPr>
              <w:t>13</w:t>
            </w:r>
          </w:p>
        </w:tc>
        <w:tc>
          <w:tcPr>
            <w:tcW w:w="1662" w:type="dxa"/>
            <w:vAlign w:val="center"/>
          </w:tcPr>
          <w:p>
            <w:pPr>
              <w:jc w:val="center"/>
            </w:pPr>
            <w:r>
              <w:rPr>
                <w:rFonts w:hint="eastAsia"/>
                <w:lang w:val="en-US" w:eastAsia="zh-CN"/>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jc w:val="center"/>
            </w:pPr>
            <w:r>
              <w:rPr>
                <w:rFonts w:hint="eastAsia" w:ascii="宋体" w:hAnsi="宋体" w:eastAsia="宋体"/>
                <w:b/>
                <w:sz w:val="21"/>
                <w:szCs w:val="21"/>
              </w:rPr>
              <w:t>年龄</w:t>
            </w:r>
          </w:p>
        </w:tc>
        <w:tc>
          <w:tcPr>
            <w:tcW w:w="2096" w:type="dxa"/>
            <w:vAlign w:val="center"/>
          </w:tcPr>
          <w:p>
            <w:pPr>
              <w:jc w:val="center"/>
            </w:pPr>
            <w:r>
              <w:rPr>
                <w:rFonts w:hint="eastAsia" w:ascii="宋体" w:hAnsi="宋体" w:eastAsia="宋体"/>
                <w:b/>
                <w:sz w:val="21"/>
                <w:szCs w:val="21"/>
              </w:rPr>
              <w:t>35岁及以下</w:t>
            </w:r>
          </w:p>
        </w:tc>
        <w:tc>
          <w:tcPr>
            <w:tcW w:w="1020" w:type="dxa"/>
            <w:vAlign w:val="center"/>
          </w:tcPr>
          <w:p>
            <w:pPr>
              <w:jc w:val="center"/>
            </w:pPr>
            <w:r>
              <w:rPr>
                <w:rFonts w:hint="eastAsia"/>
                <w:lang w:val="en-US" w:eastAsia="zh-CN"/>
              </w:rPr>
              <w:t>294</w:t>
            </w:r>
          </w:p>
        </w:tc>
        <w:tc>
          <w:tcPr>
            <w:tcW w:w="1611" w:type="dxa"/>
            <w:vAlign w:val="center"/>
          </w:tcPr>
          <w:p>
            <w:pPr>
              <w:jc w:val="center"/>
            </w:pPr>
            <w:r>
              <w:rPr>
                <w:rFonts w:hint="eastAsia"/>
                <w:lang w:val="en-US" w:eastAsia="zh-CN"/>
              </w:rPr>
              <w:t>33.83</w:t>
            </w:r>
          </w:p>
        </w:tc>
        <w:tc>
          <w:tcPr>
            <w:tcW w:w="969" w:type="dxa"/>
            <w:vAlign w:val="center"/>
          </w:tcPr>
          <w:p>
            <w:pPr>
              <w:jc w:val="center"/>
            </w:pPr>
            <w:r>
              <w:rPr>
                <w:rFonts w:hint="eastAsia"/>
                <w:lang w:val="en-US" w:eastAsia="zh-CN"/>
              </w:rPr>
              <w:t>23</w:t>
            </w:r>
          </w:p>
        </w:tc>
        <w:tc>
          <w:tcPr>
            <w:tcW w:w="1662" w:type="dxa"/>
            <w:vAlign w:val="center"/>
          </w:tcPr>
          <w:p>
            <w:pPr>
              <w:jc w:val="center"/>
            </w:pPr>
            <w:r>
              <w:rPr>
                <w:rFonts w:hint="eastAsia"/>
                <w:lang w:val="en-US" w:eastAsia="zh-CN"/>
              </w:rPr>
              <w:t>17.69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36-45岁</w:t>
            </w:r>
          </w:p>
        </w:tc>
        <w:tc>
          <w:tcPr>
            <w:tcW w:w="1020" w:type="dxa"/>
            <w:vAlign w:val="center"/>
          </w:tcPr>
          <w:p>
            <w:pPr>
              <w:jc w:val="center"/>
            </w:pPr>
            <w:r>
              <w:rPr>
                <w:rFonts w:hint="eastAsia"/>
                <w:lang w:val="en-US" w:eastAsia="zh-CN"/>
              </w:rPr>
              <w:t>376</w:t>
            </w:r>
          </w:p>
        </w:tc>
        <w:tc>
          <w:tcPr>
            <w:tcW w:w="1611" w:type="dxa"/>
            <w:vAlign w:val="center"/>
          </w:tcPr>
          <w:p>
            <w:pPr>
              <w:jc w:val="center"/>
            </w:pPr>
            <w:r>
              <w:rPr>
                <w:rFonts w:hint="eastAsia"/>
                <w:lang w:val="en-US" w:eastAsia="zh-CN"/>
              </w:rPr>
              <w:t>43.27</w:t>
            </w:r>
          </w:p>
        </w:tc>
        <w:tc>
          <w:tcPr>
            <w:tcW w:w="969" w:type="dxa"/>
            <w:vAlign w:val="center"/>
          </w:tcPr>
          <w:p>
            <w:pPr>
              <w:jc w:val="center"/>
            </w:pPr>
            <w:r>
              <w:rPr>
                <w:rFonts w:hint="eastAsia"/>
                <w:lang w:val="en-US" w:eastAsia="zh-CN"/>
              </w:rPr>
              <w:t>58</w:t>
            </w:r>
          </w:p>
        </w:tc>
        <w:tc>
          <w:tcPr>
            <w:tcW w:w="1662" w:type="dxa"/>
            <w:vAlign w:val="center"/>
          </w:tcPr>
          <w:p>
            <w:pPr>
              <w:jc w:val="center"/>
            </w:pPr>
            <w:r>
              <w:rPr>
                <w:rFonts w:hint="eastAsia"/>
                <w:lang w:val="en-US" w:eastAsia="zh-CN"/>
              </w:rPr>
              <w:t>44.62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46-55岁</w:t>
            </w:r>
          </w:p>
        </w:tc>
        <w:tc>
          <w:tcPr>
            <w:tcW w:w="1020" w:type="dxa"/>
            <w:vAlign w:val="center"/>
          </w:tcPr>
          <w:p>
            <w:pPr>
              <w:jc w:val="center"/>
            </w:pPr>
            <w:r>
              <w:rPr>
                <w:rFonts w:hint="eastAsia"/>
                <w:lang w:val="en-US" w:eastAsia="zh-CN"/>
              </w:rPr>
              <w:t>153</w:t>
            </w:r>
          </w:p>
        </w:tc>
        <w:tc>
          <w:tcPr>
            <w:tcW w:w="1611" w:type="dxa"/>
            <w:vAlign w:val="center"/>
          </w:tcPr>
          <w:p>
            <w:pPr>
              <w:jc w:val="center"/>
            </w:pPr>
            <w:r>
              <w:rPr>
                <w:rFonts w:hint="eastAsia"/>
                <w:lang w:val="en-US" w:eastAsia="zh-CN"/>
              </w:rPr>
              <w:t>17.61</w:t>
            </w:r>
          </w:p>
        </w:tc>
        <w:tc>
          <w:tcPr>
            <w:tcW w:w="969" w:type="dxa"/>
            <w:vAlign w:val="center"/>
          </w:tcPr>
          <w:p>
            <w:pPr>
              <w:jc w:val="center"/>
            </w:pPr>
            <w:r>
              <w:rPr>
                <w:rFonts w:hint="eastAsia"/>
                <w:lang w:val="en-US" w:eastAsia="zh-CN"/>
              </w:rPr>
              <w:t>31</w:t>
            </w:r>
          </w:p>
        </w:tc>
        <w:tc>
          <w:tcPr>
            <w:tcW w:w="1662" w:type="dxa"/>
            <w:vAlign w:val="center"/>
          </w:tcPr>
          <w:p>
            <w:pPr>
              <w:jc w:val="center"/>
            </w:pPr>
            <w:r>
              <w:rPr>
                <w:rFonts w:hint="eastAsia"/>
                <w:lang w:val="en-US" w:eastAsia="zh-CN"/>
              </w:rPr>
              <w:t>23.85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56岁及以上</w:t>
            </w:r>
          </w:p>
        </w:tc>
        <w:tc>
          <w:tcPr>
            <w:tcW w:w="1020" w:type="dxa"/>
            <w:vAlign w:val="center"/>
          </w:tcPr>
          <w:p>
            <w:pPr>
              <w:jc w:val="center"/>
            </w:pPr>
            <w:r>
              <w:rPr>
                <w:rFonts w:hint="eastAsia"/>
                <w:lang w:val="en-US" w:eastAsia="zh-CN"/>
              </w:rPr>
              <w:t>46</w:t>
            </w:r>
          </w:p>
        </w:tc>
        <w:tc>
          <w:tcPr>
            <w:tcW w:w="1611" w:type="dxa"/>
            <w:vAlign w:val="center"/>
          </w:tcPr>
          <w:p>
            <w:pPr>
              <w:jc w:val="center"/>
            </w:pPr>
            <w:r>
              <w:rPr>
                <w:rFonts w:hint="eastAsia"/>
                <w:lang w:val="en-US" w:eastAsia="zh-CN"/>
              </w:rPr>
              <w:t>5.29</w:t>
            </w:r>
          </w:p>
        </w:tc>
        <w:tc>
          <w:tcPr>
            <w:tcW w:w="969" w:type="dxa"/>
            <w:vAlign w:val="center"/>
          </w:tcPr>
          <w:p>
            <w:pPr>
              <w:jc w:val="center"/>
            </w:pPr>
            <w:r>
              <w:rPr>
                <w:rFonts w:hint="eastAsia"/>
                <w:lang w:val="en-US" w:eastAsia="zh-CN"/>
              </w:rPr>
              <w:t>18</w:t>
            </w:r>
          </w:p>
        </w:tc>
        <w:tc>
          <w:tcPr>
            <w:tcW w:w="1662" w:type="dxa"/>
            <w:vAlign w:val="center"/>
          </w:tcPr>
          <w:p>
            <w:pPr>
              <w:jc w:val="center"/>
            </w:pPr>
            <w:r>
              <w:rPr>
                <w:rFonts w:hint="eastAsia"/>
                <w:lang w:val="en-US" w:eastAsia="zh-CN"/>
              </w:rPr>
              <w:t>13.85</w:t>
            </w:r>
          </w:p>
        </w:tc>
      </w:tr>
    </w:tbl>
    <w:p>
      <w:pPr>
        <w:jc w:val="left"/>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3. 专业设置及调整情况</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9"/>
        <w:gridCol w:w="1061"/>
        <w:gridCol w:w="4995"/>
        <w:gridCol w:w="16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vAlign w:val="center"/>
          </w:tcPr>
          <w:p>
            <w:pPr>
              <w:jc w:val="center"/>
            </w:pPr>
            <w:r>
              <w:rPr>
                <w:rFonts w:hint="eastAsia" w:ascii="宋体" w:hAnsi="宋体" w:eastAsia="宋体"/>
                <w:sz w:val="21"/>
                <w:szCs w:val="21"/>
              </w:rPr>
              <w:t>本科专业总数</w:t>
            </w:r>
          </w:p>
        </w:tc>
        <w:tc>
          <w:tcPr>
            <w:vAlign w:val="center"/>
          </w:tcPr>
          <w:p>
            <w:pPr>
              <w:jc w:val="center"/>
            </w:pPr>
            <w:r>
              <w:rPr>
                <w:rFonts w:hint="eastAsia" w:ascii="宋体" w:hAnsi="宋体" w:eastAsia="宋体"/>
                <w:sz w:val="21"/>
                <w:szCs w:val="21"/>
              </w:rPr>
              <w:t>当年本科招生专业总数</w:t>
            </w:r>
          </w:p>
        </w:tc>
        <w:tc>
          <w:tcPr>
            <w:vAlign w:val="center"/>
          </w:tcPr>
          <w:p>
            <w:pPr>
              <w:jc w:val="center"/>
            </w:pPr>
            <w:r>
              <w:rPr>
                <w:rFonts w:hint="eastAsia" w:ascii="宋体" w:hAnsi="宋体" w:eastAsia="宋体"/>
                <w:sz w:val="21"/>
                <w:szCs w:val="21"/>
              </w:rPr>
              <w:t>新专业名单</w:t>
            </w:r>
          </w:p>
        </w:tc>
        <w:tc>
          <w:tcPr>
            <w:vAlign w:val="center"/>
          </w:tcPr>
          <w:p>
            <w:pPr>
              <w:jc w:val="center"/>
              <w:rPr>
                <w:rFonts w:hint="eastAsia" w:ascii="宋体" w:hAnsi="宋体" w:eastAsia="宋体"/>
                <w:sz w:val="21"/>
                <w:szCs w:val="21"/>
              </w:rPr>
            </w:pPr>
            <w:r>
              <w:rPr>
                <w:rFonts w:hint="eastAsia" w:ascii="宋体" w:hAnsi="宋体" w:eastAsia="宋体"/>
                <w:sz w:val="21"/>
                <w:szCs w:val="21"/>
              </w:rPr>
              <w:t>当年停招专业</w:t>
            </w:r>
          </w:p>
          <w:p>
            <w:pPr>
              <w:jc w:val="center"/>
            </w:pPr>
            <w:r>
              <w:rPr>
                <w:rFonts w:hint="eastAsia" w:ascii="宋体" w:hAnsi="宋体" w:eastAsia="宋体"/>
                <w:sz w:val="21"/>
                <w:szCs w:val="21"/>
              </w:rPr>
              <w:t>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tabs>
                <w:tab w:val="left" w:pos="499"/>
              </w:tabs>
              <w:jc w:val="center"/>
              <w:rPr>
                <w:rFonts w:hint="default" w:eastAsiaTheme="minorEastAsia"/>
                <w:lang w:val="en-US" w:eastAsia="zh-CN"/>
              </w:rPr>
            </w:pPr>
            <w:r>
              <w:rPr>
                <w:rFonts w:hint="eastAsia"/>
                <w:lang w:val="en-US" w:eastAsia="zh-CN"/>
              </w:rPr>
              <w:t>49</w:t>
            </w:r>
          </w:p>
        </w:tc>
        <w:tc>
          <w:tcPr>
            <w:vAlign w:val="center"/>
          </w:tcPr>
          <w:p>
            <w:pPr>
              <w:jc w:val="center"/>
              <w:rPr>
                <w:rFonts w:hint="default" w:eastAsiaTheme="minorEastAsia"/>
                <w:lang w:val="en-US" w:eastAsia="zh-CN"/>
              </w:rPr>
            </w:pPr>
            <w:r>
              <w:rPr>
                <w:rFonts w:hint="eastAsia"/>
                <w:lang w:val="en-US" w:eastAsia="zh-CN"/>
              </w:rPr>
              <w:t>46</w:t>
            </w:r>
          </w:p>
        </w:tc>
        <w:tc>
          <w:tcPr>
            <w:vAlign w:val="center"/>
          </w:tcPr>
          <w:p>
            <w:pPr>
              <w:jc w:val="center"/>
              <w:rPr>
                <w:rFonts w:hint="default" w:eastAsiaTheme="minorEastAsia"/>
                <w:lang w:val="en-US" w:eastAsia="zh-CN"/>
              </w:rPr>
            </w:pPr>
            <w:r>
              <w:rPr>
                <w:rFonts w:hint="eastAsia"/>
                <w:lang w:val="en-US" w:eastAsia="zh-CN"/>
              </w:rPr>
              <w:t>商务英语,机械设计制造及其自动化,材料化学,数据科学与大数据技术,测绘工程,建筑学,财务管理,文化产业管理,航空服务艺术与管理,戏剧影视文学,摄影</w:t>
            </w:r>
          </w:p>
        </w:tc>
        <w:tc>
          <w:tcPr>
            <w:vAlign w:val="center"/>
          </w:tcPr>
          <w:p>
            <w:pPr>
              <w:jc w:val="center"/>
              <w:rPr>
                <w:rFonts w:hint="default" w:eastAsiaTheme="minorEastAsia"/>
                <w:lang w:val="en-US" w:eastAsia="zh-CN"/>
              </w:rPr>
            </w:pPr>
            <w:r>
              <w:rPr>
                <w:rFonts w:ascii="宋体" w:hAnsi="宋体" w:eastAsia="宋体" w:cs="宋体"/>
                <w:sz w:val="22"/>
              </w:rPr>
              <w:t>教育技术学，统计学，戏剧影视文学</w:t>
            </w:r>
          </w:p>
        </w:tc>
      </w:tr>
    </w:tbl>
    <w:p>
      <w:pPr>
        <w:jc w:val="left"/>
      </w:pPr>
    </w:p>
    <w:p>
      <w:pPr>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rPr>
        <w:t>全校整体生师比</w:t>
      </w:r>
      <w:r>
        <w:rPr>
          <w:rFonts w:hint="eastAsia" w:ascii="宋体" w:hAnsi="宋体" w:eastAsia="宋体" w:cs="宋体"/>
          <w:sz w:val="28"/>
          <w:szCs w:val="28"/>
          <w:lang w:val="en-US" w:eastAsia="zh-CN"/>
        </w:rPr>
        <w:t>17.32：1</w:t>
      </w:r>
    </w:p>
    <w:p>
      <w:pPr>
        <w:numPr>
          <w:ilvl w:val="0"/>
          <w:numId w:val="0"/>
        </w:numPr>
        <w:jc w:val="left"/>
        <w:rPr>
          <w:rFonts w:hint="default" w:ascii="宋体" w:hAnsi="宋体" w:eastAsia="宋体" w:cs="宋体"/>
          <w:sz w:val="28"/>
          <w:szCs w:val="28"/>
          <w:lang w:val="en-US" w:eastAsia="zh-CN"/>
        </w:rPr>
      </w:pPr>
      <w:r>
        <w:rPr>
          <w:rFonts w:hint="eastAsia" w:ascii="宋体" w:hAnsi="宋体" w:eastAsia="宋体" w:cs="宋体"/>
          <w:sz w:val="28"/>
          <w:szCs w:val="28"/>
        </w:rPr>
        <w:t>5. 生均教学科研仪器设备值（元）</w:t>
      </w:r>
      <w:r>
        <w:rPr>
          <w:rFonts w:hint="eastAsia" w:ascii="宋体" w:hAnsi="宋体" w:eastAsia="宋体" w:cs="宋体"/>
          <w:sz w:val="28"/>
          <w:szCs w:val="28"/>
          <w:lang w:val="en-US" w:eastAsia="zh-CN"/>
        </w:rPr>
        <w:t>9000</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6. 当年新增教学科研仪器设备值（万元）</w:t>
      </w:r>
      <w:r>
        <w:rPr>
          <w:rFonts w:hint="eastAsia" w:ascii="宋体" w:hAnsi="宋体" w:eastAsia="宋体" w:cs="宋体"/>
          <w:sz w:val="28"/>
          <w:szCs w:val="28"/>
          <w:lang w:val="en-US" w:eastAsia="zh-CN"/>
        </w:rPr>
        <w:t>1794.61</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7. 生均图书（册）</w:t>
      </w:r>
      <w:r>
        <w:rPr>
          <w:rFonts w:hint="eastAsia" w:ascii="宋体" w:hAnsi="宋体" w:eastAsia="宋体" w:cs="宋体"/>
          <w:sz w:val="28"/>
          <w:szCs w:val="28"/>
          <w:lang w:val="en-US" w:eastAsia="zh-CN"/>
        </w:rPr>
        <w:t>70.7</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8. 电子</w:t>
      </w:r>
      <w:r>
        <w:rPr>
          <w:rFonts w:hint="eastAsia" w:ascii="宋体" w:hAnsi="宋体" w:eastAsia="宋体" w:cs="宋体"/>
          <w:sz w:val="28"/>
          <w:szCs w:val="28"/>
          <w:lang w:val="en-US" w:eastAsia="zh-CN"/>
        </w:rPr>
        <w:t>图书</w:t>
      </w:r>
      <w:r>
        <w:rPr>
          <w:rFonts w:hint="eastAsia" w:ascii="宋体" w:hAnsi="宋体" w:eastAsia="宋体" w:cs="宋体"/>
          <w:sz w:val="28"/>
          <w:szCs w:val="28"/>
        </w:rPr>
        <w:t>（</w:t>
      </w:r>
      <w:r>
        <w:rPr>
          <w:rFonts w:hint="eastAsia" w:ascii="宋体" w:hAnsi="宋体" w:eastAsia="宋体" w:cs="宋体"/>
          <w:sz w:val="28"/>
          <w:szCs w:val="28"/>
          <w:lang w:val="en-US" w:eastAsia="zh-CN"/>
        </w:rPr>
        <w:t>册</w:t>
      </w:r>
      <w:r>
        <w:rPr>
          <w:rFonts w:hint="eastAsia" w:ascii="宋体" w:hAnsi="宋体" w:eastAsia="宋体" w:cs="宋体"/>
          <w:sz w:val="28"/>
          <w:szCs w:val="28"/>
        </w:rPr>
        <w:t>）</w:t>
      </w:r>
      <w:r>
        <w:rPr>
          <w:rFonts w:hint="eastAsia" w:ascii="宋体" w:hAnsi="宋体" w:eastAsia="宋体" w:cs="宋体"/>
          <w:sz w:val="28"/>
          <w:szCs w:val="28"/>
          <w:lang w:val="en-US" w:eastAsia="zh-CN"/>
        </w:rPr>
        <w:t>765528</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9. 生均教学行政用房（平方米）</w:t>
      </w:r>
      <w:r>
        <w:rPr>
          <w:rFonts w:hint="eastAsia" w:ascii="宋体" w:hAnsi="宋体" w:eastAsia="宋体" w:cs="宋体"/>
          <w:sz w:val="28"/>
          <w:szCs w:val="28"/>
          <w:lang w:val="en-US" w:eastAsia="zh-CN"/>
        </w:rPr>
        <w:t>13.42</w:t>
      </w:r>
      <w:r>
        <w:rPr>
          <w:rFonts w:hint="eastAsia" w:ascii="宋体" w:hAnsi="宋体" w:eastAsia="宋体" w:cs="宋体"/>
          <w:sz w:val="28"/>
          <w:szCs w:val="28"/>
        </w:rPr>
        <w:t>，生均实验室面积（平方米）</w:t>
      </w:r>
      <w:r>
        <w:rPr>
          <w:rFonts w:hint="eastAsia" w:ascii="宋体" w:hAnsi="宋体" w:eastAsia="宋体" w:cs="宋体"/>
          <w:sz w:val="28"/>
          <w:szCs w:val="28"/>
          <w:lang w:val="en-US" w:eastAsia="zh-CN"/>
        </w:rPr>
        <w:t>2.96</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10. 生均本科教学日常运行支出（元）</w:t>
      </w:r>
      <w:r>
        <w:rPr>
          <w:rFonts w:hint="eastAsia" w:ascii="宋体" w:hAnsi="宋体" w:eastAsia="宋体" w:cs="宋体"/>
          <w:sz w:val="28"/>
          <w:szCs w:val="28"/>
          <w:lang w:val="en-US" w:eastAsia="zh-CN"/>
        </w:rPr>
        <w:t>2364.99</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11. 本科专项教学经费（自然年度内学校立项用于本科教学改革和建设的专项经费总额）（万元）</w:t>
      </w:r>
      <w:r>
        <w:rPr>
          <w:rFonts w:hint="eastAsia" w:ascii="宋体" w:hAnsi="宋体" w:eastAsia="宋体" w:cs="宋体"/>
          <w:sz w:val="28"/>
          <w:szCs w:val="28"/>
          <w:lang w:val="en-US" w:eastAsia="zh-CN"/>
        </w:rPr>
        <w:t>2467.66</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12. 生均本科实验经费（自然年度内学校用于实验教学运行、维护经费生均值）（元）</w:t>
      </w:r>
      <w:r>
        <w:rPr>
          <w:rFonts w:hint="eastAsia" w:ascii="宋体" w:hAnsi="宋体" w:eastAsia="宋体" w:cs="宋体"/>
          <w:sz w:val="28"/>
          <w:szCs w:val="28"/>
          <w:lang w:val="en-US" w:eastAsia="zh-CN"/>
        </w:rPr>
        <w:t>577.34</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13. 生均本科实习经费（自然年度内用于本科培养方案内的实习环节支出经费生均值）（元）</w:t>
      </w:r>
      <w:r>
        <w:rPr>
          <w:rFonts w:hint="eastAsia" w:ascii="宋体" w:hAnsi="宋体" w:eastAsia="宋体" w:cs="宋体"/>
          <w:sz w:val="28"/>
          <w:szCs w:val="28"/>
          <w:lang w:val="en-US" w:eastAsia="zh-CN"/>
        </w:rPr>
        <w:t>333.55</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14. 全校开设课程总门数</w:t>
      </w:r>
      <w:r>
        <w:rPr>
          <w:rFonts w:hint="eastAsia" w:ascii="宋体" w:hAnsi="宋体" w:eastAsia="宋体" w:cs="宋体"/>
          <w:sz w:val="28"/>
          <w:szCs w:val="28"/>
          <w:lang w:val="en-US" w:eastAsia="zh-CN"/>
        </w:rPr>
        <w:t>2145</w:t>
      </w:r>
    </w:p>
    <w:p>
      <w:pPr>
        <w:ind w:firstLine="480" w:firstLineChars="200"/>
        <w:jc w:val="left"/>
        <w:rPr>
          <w:rFonts w:hint="eastAsia" w:ascii="宋体" w:hAnsi="宋体" w:eastAsia="宋体" w:cs="宋体"/>
          <w:sz w:val="28"/>
          <w:szCs w:val="28"/>
        </w:rPr>
      </w:pPr>
      <w:r>
        <w:rPr>
          <w:rFonts w:hint="eastAsia" w:ascii="宋体" w:hAnsi="宋体" w:eastAsia="宋体" w:cs="宋体"/>
          <w:sz w:val="24"/>
          <w:szCs w:val="24"/>
        </w:rPr>
        <w:t>注：学年度内实际开设的本科培养计划内课程总数，跨学期讲授的同一门课程计1门</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 主讲本科课程的教授占教授总数的比例（不含讲座）</w:t>
      </w:r>
      <w:r>
        <w:rPr>
          <w:rFonts w:hint="eastAsia" w:ascii="宋体" w:hAnsi="宋体" w:eastAsia="宋体" w:cs="宋体"/>
          <w:sz w:val="28"/>
          <w:szCs w:val="28"/>
          <w:lang w:val="en-US" w:eastAsia="zh-CN"/>
        </w:rPr>
        <w:t>80.19</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 教授讲授本科课程占课程总门次数的比例</w:t>
      </w:r>
      <w:r>
        <w:rPr>
          <w:rFonts w:hint="eastAsia" w:ascii="宋体" w:hAnsi="宋体" w:eastAsia="宋体" w:cs="宋体"/>
          <w:sz w:val="28"/>
          <w:szCs w:val="28"/>
          <w:lang w:val="en-US" w:eastAsia="zh-CN"/>
        </w:rPr>
        <w:t>9.35</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 应届本科生毕业率</w:t>
      </w:r>
      <w:r>
        <w:rPr>
          <w:rFonts w:hint="eastAsia" w:ascii="宋体" w:hAnsi="宋体" w:eastAsia="宋体" w:cs="宋体"/>
          <w:sz w:val="28"/>
          <w:szCs w:val="28"/>
          <w:lang w:val="en-US" w:eastAsia="zh-CN"/>
        </w:rPr>
        <w:t>94.24</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18</w:t>
      </w:r>
      <w:r>
        <w:rPr>
          <w:rFonts w:hint="eastAsia" w:ascii="宋体" w:hAnsi="宋体" w:eastAsia="宋体" w:cs="宋体"/>
          <w:sz w:val="28"/>
          <w:szCs w:val="28"/>
        </w:rPr>
        <w:t>. 应届本科毕业生学位授予率</w:t>
      </w:r>
      <w:r>
        <w:rPr>
          <w:rFonts w:hint="eastAsia" w:ascii="宋体" w:hAnsi="宋体" w:eastAsia="宋体" w:cs="宋体"/>
          <w:sz w:val="28"/>
          <w:szCs w:val="28"/>
          <w:lang w:val="en-US" w:eastAsia="zh-CN"/>
        </w:rPr>
        <w:t>93.70</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19</w:t>
      </w:r>
      <w:r>
        <w:rPr>
          <w:rFonts w:hint="eastAsia" w:ascii="宋体" w:hAnsi="宋体" w:eastAsia="宋体" w:cs="宋体"/>
          <w:sz w:val="28"/>
          <w:szCs w:val="28"/>
        </w:rPr>
        <w:t>. 应届本科毕业生初次就业率</w:t>
      </w:r>
      <w:r>
        <w:rPr>
          <w:rFonts w:hint="eastAsia" w:ascii="宋体" w:hAnsi="宋体" w:eastAsia="宋体" w:cs="宋体"/>
          <w:sz w:val="28"/>
          <w:szCs w:val="28"/>
          <w:lang w:val="en-US" w:eastAsia="zh-CN"/>
        </w:rPr>
        <w:t>79.75</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r>
        <w:rPr>
          <w:rFonts w:hint="eastAsia" w:ascii="宋体" w:hAnsi="宋体" w:eastAsia="宋体" w:cs="宋体"/>
          <w:sz w:val="28"/>
          <w:szCs w:val="28"/>
        </w:rPr>
        <w:t>. 体质测试达标率</w:t>
      </w:r>
      <w:r>
        <w:rPr>
          <w:rFonts w:hint="eastAsia" w:ascii="宋体" w:hAnsi="宋体" w:eastAsia="宋体" w:cs="宋体"/>
          <w:sz w:val="28"/>
          <w:szCs w:val="28"/>
          <w:lang w:val="en-US" w:eastAsia="zh-CN"/>
        </w:rPr>
        <w:t>91.88</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 学生学习满意度（调查方法与结果）</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9</w:t>
      </w: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学年度，学校对所有在校学生进行了一次学生学习满意度调查，调查采用的问卷由教育部高等教育教学评估中心提供，共有26个问题项，其中包括教学质量、教学管理质量、学习环境、专业学习和实习实践和在校学习满意度四大方面的问题，题目设计采用李克特式五点量表。据调研结果显示，我校学生学习满意度较高，达到了</w:t>
      </w:r>
      <w:r>
        <w:rPr>
          <w:rFonts w:hint="eastAsia" w:ascii="宋体" w:hAnsi="宋体" w:eastAsia="宋体" w:cs="宋体"/>
          <w:sz w:val="28"/>
          <w:szCs w:val="28"/>
          <w:lang w:val="en-US" w:eastAsia="zh-CN"/>
        </w:rPr>
        <w:t>91.91</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 用人单位对毕业生满意度（调查方法与结果）</w:t>
      </w:r>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2020年暑期，学校通过网络问卷调查和抽样实地访谈相结合的方式开展了用人单位满意度调查，调查内容包括单位性质、所属行业、单位规模、薪资待遇、我校毕业生就业人数、对我校毕业生综合素质评价、对我校工作满意度评价、共建就业基地意向、人才需求和对我校工作的建议等。根据调研结果显示，用人单位对我校工作总体满意度为99.62%，对我校毕业生总体满意度为99.54%。</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050861"/>
                            <w:docPartObj>
                              <w:docPartGallery w:val="autotext"/>
                            </w:docPartObj>
                          </w:sdtPr>
                          <w:sdtContent>
                            <w:p>
                              <w:pPr>
                                <w:pStyle w:val="11"/>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26050861"/>
                      <w:docPartObj>
                        <w:docPartGallery w:val="autotext"/>
                      </w:docPartObj>
                    </w:sdtPr>
                    <w:sdtContent>
                      <w:p>
                        <w:pPr>
                          <w:pStyle w:val="11"/>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956945" cy="242570"/>
          <wp:effectExtent l="0" t="0" r="14605" b="5080"/>
          <wp:docPr id="14" name="图片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11"/>
                  <pic:cNvPicPr>
                    <a:picLocks noChangeAspect="1"/>
                  </pic:cNvPicPr>
                </pic:nvPicPr>
                <pic:blipFill>
                  <a:blip r:embed="rId1"/>
                  <a:stretch>
                    <a:fillRect/>
                  </a:stretch>
                </pic:blipFill>
                <pic:spPr>
                  <a:xfrm>
                    <a:off x="0" y="0"/>
                    <a:ext cx="956945" cy="242570"/>
                  </a:xfrm>
                  <a:prstGeom prst="rect">
                    <a:avLst/>
                  </a:prstGeom>
                  <a:noFill/>
                  <a:ln>
                    <a:noFill/>
                  </a:ln>
                </pic:spPr>
              </pic:pic>
            </a:graphicData>
          </a:graphic>
        </wp:inline>
      </w:drawing>
    </w: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eastAsia="zh-CN"/>
      </w:rPr>
      <w:t>本科教学质量报告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B5C93"/>
    <w:multiLevelType w:val="singleLevel"/>
    <w:tmpl w:val="87EB5C93"/>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A6B"/>
    <w:rsid w:val="001B747C"/>
    <w:rsid w:val="00272916"/>
    <w:rsid w:val="00293B35"/>
    <w:rsid w:val="003A6026"/>
    <w:rsid w:val="003F368C"/>
    <w:rsid w:val="00444FA5"/>
    <w:rsid w:val="004E4C77"/>
    <w:rsid w:val="00647E79"/>
    <w:rsid w:val="00707FA4"/>
    <w:rsid w:val="007B601E"/>
    <w:rsid w:val="00827D06"/>
    <w:rsid w:val="0091695D"/>
    <w:rsid w:val="00A043A1"/>
    <w:rsid w:val="00AD4D7B"/>
    <w:rsid w:val="00D52F5D"/>
    <w:rsid w:val="00D5660C"/>
    <w:rsid w:val="00DE23D3"/>
    <w:rsid w:val="00E475B9"/>
    <w:rsid w:val="00F762F0"/>
    <w:rsid w:val="01002FDF"/>
    <w:rsid w:val="010A6E12"/>
    <w:rsid w:val="01357EB2"/>
    <w:rsid w:val="013A3F00"/>
    <w:rsid w:val="01611261"/>
    <w:rsid w:val="01634309"/>
    <w:rsid w:val="01707293"/>
    <w:rsid w:val="01714987"/>
    <w:rsid w:val="01821165"/>
    <w:rsid w:val="01860C33"/>
    <w:rsid w:val="019448BB"/>
    <w:rsid w:val="01A27C85"/>
    <w:rsid w:val="01A44DA8"/>
    <w:rsid w:val="01BA13B5"/>
    <w:rsid w:val="01C82276"/>
    <w:rsid w:val="01D51125"/>
    <w:rsid w:val="01FD39AE"/>
    <w:rsid w:val="02133B78"/>
    <w:rsid w:val="028617C7"/>
    <w:rsid w:val="02A2451E"/>
    <w:rsid w:val="02A548B3"/>
    <w:rsid w:val="02B87FFE"/>
    <w:rsid w:val="02C24266"/>
    <w:rsid w:val="02CC6EC8"/>
    <w:rsid w:val="02E869A9"/>
    <w:rsid w:val="02EA07B0"/>
    <w:rsid w:val="02F30292"/>
    <w:rsid w:val="03084678"/>
    <w:rsid w:val="030E60CC"/>
    <w:rsid w:val="03187A24"/>
    <w:rsid w:val="03226A88"/>
    <w:rsid w:val="033A10D1"/>
    <w:rsid w:val="033C73B4"/>
    <w:rsid w:val="033F134E"/>
    <w:rsid w:val="038C611D"/>
    <w:rsid w:val="03997794"/>
    <w:rsid w:val="03AD6046"/>
    <w:rsid w:val="03B201EE"/>
    <w:rsid w:val="03C92D95"/>
    <w:rsid w:val="03DA4008"/>
    <w:rsid w:val="03E07A30"/>
    <w:rsid w:val="03E33090"/>
    <w:rsid w:val="03EA7253"/>
    <w:rsid w:val="03F5100F"/>
    <w:rsid w:val="04030131"/>
    <w:rsid w:val="043C1C25"/>
    <w:rsid w:val="0450348D"/>
    <w:rsid w:val="04523B4D"/>
    <w:rsid w:val="04543DDB"/>
    <w:rsid w:val="048A1FF0"/>
    <w:rsid w:val="04A362F0"/>
    <w:rsid w:val="04C7181D"/>
    <w:rsid w:val="04D83294"/>
    <w:rsid w:val="04DF4F27"/>
    <w:rsid w:val="04EA3FF5"/>
    <w:rsid w:val="04EE0DBA"/>
    <w:rsid w:val="04FF564B"/>
    <w:rsid w:val="05000C0A"/>
    <w:rsid w:val="05211A4F"/>
    <w:rsid w:val="054B33BC"/>
    <w:rsid w:val="05913A9F"/>
    <w:rsid w:val="05A067EB"/>
    <w:rsid w:val="05B27F7E"/>
    <w:rsid w:val="05C81E65"/>
    <w:rsid w:val="05C91072"/>
    <w:rsid w:val="060C064D"/>
    <w:rsid w:val="06302BC9"/>
    <w:rsid w:val="06643DF1"/>
    <w:rsid w:val="0667755B"/>
    <w:rsid w:val="06AD111A"/>
    <w:rsid w:val="06AD20C1"/>
    <w:rsid w:val="06B3199D"/>
    <w:rsid w:val="06B63C91"/>
    <w:rsid w:val="06C510AD"/>
    <w:rsid w:val="06D17874"/>
    <w:rsid w:val="06D22BBA"/>
    <w:rsid w:val="071B7557"/>
    <w:rsid w:val="07212ED0"/>
    <w:rsid w:val="07433A3B"/>
    <w:rsid w:val="07437BF9"/>
    <w:rsid w:val="07610A15"/>
    <w:rsid w:val="07A140FF"/>
    <w:rsid w:val="07AE3FA1"/>
    <w:rsid w:val="07C73EC9"/>
    <w:rsid w:val="07C91FF6"/>
    <w:rsid w:val="07E84D63"/>
    <w:rsid w:val="07FD23BE"/>
    <w:rsid w:val="08425674"/>
    <w:rsid w:val="0897178B"/>
    <w:rsid w:val="089B3C1B"/>
    <w:rsid w:val="08A847F6"/>
    <w:rsid w:val="08C67896"/>
    <w:rsid w:val="08E1607E"/>
    <w:rsid w:val="08FA0A64"/>
    <w:rsid w:val="08FA2270"/>
    <w:rsid w:val="08FC3917"/>
    <w:rsid w:val="08FE0E7D"/>
    <w:rsid w:val="090C47D2"/>
    <w:rsid w:val="09133147"/>
    <w:rsid w:val="09143890"/>
    <w:rsid w:val="091678C9"/>
    <w:rsid w:val="09213DF0"/>
    <w:rsid w:val="09467DA3"/>
    <w:rsid w:val="095B3928"/>
    <w:rsid w:val="09702A3D"/>
    <w:rsid w:val="09806EB4"/>
    <w:rsid w:val="098F6220"/>
    <w:rsid w:val="09AA1852"/>
    <w:rsid w:val="09B1004D"/>
    <w:rsid w:val="09CD1471"/>
    <w:rsid w:val="09D259E6"/>
    <w:rsid w:val="0A0131AC"/>
    <w:rsid w:val="0A07686F"/>
    <w:rsid w:val="0A1871FE"/>
    <w:rsid w:val="0A45410C"/>
    <w:rsid w:val="0A607F07"/>
    <w:rsid w:val="0A9232D1"/>
    <w:rsid w:val="0AAC3EA8"/>
    <w:rsid w:val="0AB87493"/>
    <w:rsid w:val="0AD10D16"/>
    <w:rsid w:val="0AE56B5A"/>
    <w:rsid w:val="0B300931"/>
    <w:rsid w:val="0B311397"/>
    <w:rsid w:val="0B3E010C"/>
    <w:rsid w:val="0B471E66"/>
    <w:rsid w:val="0B4974F4"/>
    <w:rsid w:val="0B4C5463"/>
    <w:rsid w:val="0B5A15C8"/>
    <w:rsid w:val="0B5D6E1C"/>
    <w:rsid w:val="0B6A3473"/>
    <w:rsid w:val="0B797B81"/>
    <w:rsid w:val="0B805CE4"/>
    <w:rsid w:val="0B8C14E6"/>
    <w:rsid w:val="0BA82E85"/>
    <w:rsid w:val="0BB54636"/>
    <w:rsid w:val="0BDA4C2C"/>
    <w:rsid w:val="0BE92608"/>
    <w:rsid w:val="0BEA4671"/>
    <w:rsid w:val="0C6A2174"/>
    <w:rsid w:val="0C8336A2"/>
    <w:rsid w:val="0C906FC7"/>
    <w:rsid w:val="0CA413EA"/>
    <w:rsid w:val="0CD30AB9"/>
    <w:rsid w:val="0CDD2C78"/>
    <w:rsid w:val="0D011D7B"/>
    <w:rsid w:val="0D022A5F"/>
    <w:rsid w:val="0D0445B7"/>
    <w:rsid w:val="0D080278"/>
    <w:rsid w:val="0D10768A"/>
    <w:rsid w:val="0D346352"/>
    <w:rsid w:val="0D3E722C"/>
    <w:rsid w:val="0D3F11E1"/>
    <w:rsid w:val="0D421C96"/>
    <w:rsid w:val="0D4901F5"/>
    <w:rsid w:val="0D4C2445"/>
    <w:rsid w:val="0D666E13"/>
    <w:rsid w:val="0D683FF1"/>
    <w:rsid w:val="0D6C15E3"/>
    <w:rsid w:val="0D8B5EC5"/>
    <w:rsid w:val="0D8F07C0"/>
    <w:rsid w:val="0DAD2154"/>
    <w:rsid w:val="0DB70D4F"/>
    <w:rsid w:val="0DD1613C"/>
    <w:rsid w:val="0DE17356"/>
    <w:rsid w:val="0DFB611E"/>
    <w:rsid w:val="0E1909A3"/>
    <w:rsid w:val="0E1B233C"/>
    <w:rsid w:val="0E226869"/>
    <w:rsid w:val="0E3162A5"/>
    <w:rsid w:val="0E3B7DAB"/>
    <w:rsid w:val="0E48049C"/>
    <w:rsid w:val="0E5A65BD"/>
    <w:rsid w:val="0E5D6393"/>
    <w:rsid w:val="0E6001DC"/>
    <w:rsid w:val="0E7C185D"/>
    <w:rsid w:val="0EA66D27"/>
    <w:rsid w:val="0EAA1490"/>
    <w:rsid w:val="0ECA7D0B"/>
    <w:rsid w:val="0EEF5CAF"/>
    <w:rsid w:val="0F2667CC"/>
    <w:rsid w:val="0F280E54"/>
    <w:rsid w:val="0F4925F8"/>
    <w:rsid w:val="0F4D1EAA"/>
    <w:rsid w:val="0F4E211F"/>
    <w:rsid w:val="0F5E4D6C"/>
    <w:rsid w:val="0F680E00"/>
    <w:rsid w:val="0F6F1EA2"/>
    <w:rsid w:val="0F9E0307"/>
    <w:rsid w:val="0F9F69E8"/>
    <w:rsid w:val="0FA975FD"/>
    <w:rsid w:val="0FAE52D8"/>
    <w:rsid w:val="0FBC292A"/>
    <w:rsid w:val="0FC2677F"/>
    <w:rsid w:val="0FE45548"/>
    <w:rsid w:val="0FED33BC"/>
    <w:rsid w:val="10033D5F"/>
    <w:rsid w:val="10040FB6"/>
    <w:rsid w:val="1008408D"/>
    <w:rsid w:val="1011661E"/>
    <w:rsid w:val="10131F38"/>
    <w:rsid w:val="102032A6"/>
    <w:rsid w:val="103B0596"/>
    <w:rsid w:val="103B22A4"/>
    <w:rsid w:val="10407DC3"/>
    <w:rsid w:val="10414A84"/>
    <w:rsid w:val="108C6E4E"/>
    <w:rsid w:val="109C7E4A"/>
    <w:rsid w:val="10C73992"/>
    <w:rsid w:val="10E460DC"/>
    <w:rsid w:val="10F83724"/>
    <w:rsid w:val="11063172"/>
    <w:rsid w:val="1111400F"/>
    <w:rsid w:val="113E1B88"/>
    <w:rsid w:val="11590A9A"/>
    <w:rsid w:val="11614F43"/>
    <w:rsid w:val="119368F3"/>
    <w:rsid w:val="119A77F8"/>
    <w:rsid w:val="11C02825"/>
    <w:rsid w:val="11D265BE"/>
    <w:rsid w:val="11E62410"/>
    <w:rsid w:val="11FD2C45"/>
    <w:rsid w:val="11FE16F2"/>
    <w:rsid w:val="12245003"/>
    <w:rsid w:val="125410E3"/>
    <w:rsid w:val="126569AB"/>
    <w:rsid w:val="126C639E"/>
    <w:rsid w:val="127705A5"/>
    <w:rsid w:val="1282408C"/>
    <w:rsid w:val="128B32B1"/>
    <w:rsid w:val="12C04344"/>
    <w:rsid w:val="12D60170"/>
    <w:rsid w:val="12F86F94"/>
    <w:rsid w:val="131235DD"/>
    <w:rsid w:val="132D7D00"/>
    <w:rsid w:val="132E7173"/>
    <w:rsid w:val="134740F4"/>
    <w:rsid w:val="13886B9D"/>
    <w:rsid w:val="13C41FAA"/>
    <w:rsid w:val="13CC46F6"/>
    <w:rsid w:val="13CF6B77"/>
    <w:rsid w:val="13E40D36"/>
    <w:rsid w:val="13E52251"/>
    <w:rsid w:val="140269AD"/>
    <w:rsid w:val="142738E2"/>
    <w:rsid w:val="142A0041"/>
    <w:rsid w:val="143A10F0"/>
    <w:rsid w:val="143F4031"/>
    <w:rsid w:val="147A5153"/>
    <w:rsid w:val="14827611"/>
    <w:rsid w:val="148673D5"/>
    <w:rsid w:val="14B3107D"/>
    <w:rsid w:val="14B94943"/>
    <w:rsid w:val="14D33F44"/>
    <w:rsid w:val="14F35B8A"/>
    <w:rsid w:val="1516065A"/>
    <w:rsid w:val="15193B7D"/>
    <w:rsid w:val="153D4C89"/>
    <w:rsid w:val="156554FD"/>
    <w:rsid w:val="156A06C1"/>
    <w:rsid w:val="15905A57"/>
    <w:rsid w:val="15C0219C"/>
    <w:rsid w:val="15CF19E4"/>
    <w:rsid w:val="15DA1745"/>
    <w:rsid w:val="15DB0CC2"/>
    <w:rsid w:val="15DE38F9"/>
    <w:rsid w:val="15E87AF3"/>
    <w:rsid w:val="15F34325"/>
    <w:rsid w:val="160D0EEB"/>
    <w:rsid w:val="16194C52"/>
    <w:rsid w:val="16624D04"/>
    <w:rsid w:val="166B13B5"/>
    <w:rsid w:val="16836E00"/>
    <w:rsid w:val="16874135"/>
    <w:rsid w:val="168E5584"/>
    <w:rsid w:val="1690540D"/>
    <w:rsid w:val="16974C78"/>
    <w:rsid w:val="16A24EBB"/>
    <w:rsid w:val="16A35EB6"/>
    <w:rsid w:val="16A6011F"/>
    <w:rsid w:val="16CB1962"/>
    <w:rsid w:val="16DE01C1"/>
    <w:rsid w:val="16E837ED"/>
    <w:rsid w:val="17092F7E"/>
    <w:rsid w:val="171611AE"/>
    <w:rsid w:val="1720620E"/>
    <w:rsid w:val="172110C2"/>
    <w:rsid w:val="17313745"/>
    <w:rsid w:val="17357067"/>
    <w:rsid w:val="174956BE"/>
    <w:rsid w:val="174B70B0"/>
    <w:rsid w:val="177D2E57"/>
    <w:rsid w:val="17C0086C"/>
    <w:rsid w:val="17D77296"/>
    <w:rsid w:val="17FC64E4"/>
    <w:rsid w:val="17FD5F82"/>
    <w:rsid w:val="181061FE"/>
    <w:rsid w:val="181B6AC2"/>
    <w:rsid w:val="181F4B70"/>
    <w:rsid w:val="18670BEB"/>
    <w:rsid w:val="186E2188"/>
    <w:rsid w:val="1883096A"/>
    <w:rsid w:val="18DC5A7A"/>
    <w:rsid w:val="18E40E56"/>
    <w:rsid w:val="18EB3651"/>
    <w:rsid w:val="18F41A6C"/>
    <w:rsid w:val="18FF5A7B"/>
    <w:rsid w:val="191A60A8"/>
    <w:rsid w:val="19306E17"/>
    <w:rsid w:val="193810AD"/>
    <w:rsid w:val="194274C7"/>
    <w:rsid w:val="19593654"/>
    <w:rsid w:val="195F0E8C"/>
    <w:rsid w:val="197B192F"/>
    <w:rsid w:val="19A318CC"/>
    <w:rsid w:val="19B10BFF"/>
    <w:rsid w:val="19C12F76"/>
    <w:rsid w:val="19C235B9"/>
    <w:rsid w:val="19D844BA"/>
    <w:rsid w:val="19EB3ED2"/>
    <w:rsid w:val="19ED292C"/>
    <w:rsid w:val="19EF49A6"/>
    <w:rsid w:val="1A182AC6"/>
    <w:rsid w:val="1A2F716A"/>
    <w:rsid w:val="1A597C97"/>
    <w:rsid w:val="1A6036C2"/>
    <w:rsid w:val="1A72539F"/>
    <w:rsid w:val="1AAB0885"/>
    <w:rsid w:val="1AAB7F28"/>
    <w:rsid w:val="1ABC773F"/>
    <w:rsid w:val="1AF25294"/>
    <w:rsid w:val="1AFB2393"/>
    <w:rsid w:val="1B083090"/>
    <w:rsid w:val="1B147E16"/>
    <w:rsid w:val="1B2B3035"/>
    <w:rsid w:val="1B59399F"/>
    <w:rsid w:val="1B5B3F20"/>
    <w:rsid w:val="1B5C459E"/>
    <w:rsid w:val="1B74125B"/>
    <w:rsid w:val="1B777C1A"/>
    <w:rsid w:val="1BA44871"/>
    <w:rsid w:val="1BB754C2"/>
    <w:rsid w:val="1BBB7A8A"/>
    <w:rsid w:val="1BDA3270"/>
    <w:rsid w:val="1C161606"/>
    <w:rsid w:val="1C1964C1"/>
    <w:rsid w:val="1C25573C"/>
    <w:rsid w:val="1C2B415F"/>
    <w:rsid w:val="1C4837FD"/>
    <w:rsid w:val="1C4F7606"/>
    <w:rsid w:val="1C55041F"/>
    <w:rsid w:val="1C632A64"/>
    <w:rsid w:val="1C6573D2"/>
    <w:rsid w:val="1C8D4088"/>
    <w:rsid w:val="1CA40B74"/>
    <w:rsid w:val="1CC92BA0"/>
    <w:rsid w:val="1CC9446D"/>
    <w:rsid w:val="1CEB44AD"/>
    <w:rsid w:val="1D054F43"/>
    <w:rsid w:val="1D21489A"/>
    <w:rsid w:val="1D2B7E04"/>
    <w:rsid w:val="1D4177C1"/>
    <w:rsid w:val="1D4601A9"/>
    <w:rsid w:val="1D5844AB"/>
    <w:rsid w:val="1D6939C2"/>
    <w:rsid w:val="1D6B33CA"/>
    <w:rsid w:val="1D751373"/>
    <w:rsid w:val="1D817C0D"/>
    <w:rsid w:val="1D9525D8"/>
    <w:rsid w:val="1D9A4F48"/>
    <w:rsid w:val="1DA378E9"/>
    <w:rsid w:val="1DA462B4"/>
    <w:rsid w:val="1DA56E78"/>
    <w:rsid w:val="1DBB4FFE"/>
    <w:rsid w:val="1DD652C6"/>
    <w:rsid w:val="1DF0147B"/>
    <w:rsid w:val="1E7042C5"/>
    <w:rsid w:val="1E731619"/>
    <w:rsid w:val="1E8606F1"/>
    <w:rsid w:val="1E8F1E14"/>
    <w:rsid w:val="1EBC1A0E"/>
    <w:rsid w:val="1EC02760"/>
    <w:rsid w:val="1F172B00"/>
    <w:rsid w:val="1F284DAF"/>
    <w:rsid w:val="1F491BE1"/>
    <w:rsid w:val="1F4A531A"/>
    <w:rsid w:val="1F6261F1"/>
    <w:rsid w:val="1F7F5166"/>
    <w:rsid w:val="1F814D49"/>
    <w:rsid w:val="1FC4182B"/>
    <w:rsid w:val="1FD97C64"/>
    <w:rsid w:val="200F1162"/>
    <w:rsid w:val="20286BB6"/>
    <w:rsid w:val="203063B1"/>
    <w:rsid w:val="203C35B5"/>
    <w:rsid w:val="205B73A8"/>
    <w:rsid w:val="20770892"/>
    <w:rsid w:val="209429BB"/>
    <w:rsid w:val="20B549DC"/>
    <w:rsid w:val="20D26C79"/>
    <w:rsid w:val="20DA1C6D"/>
    <w:rsid w:val="20E05425"/>
    <w:rsid w:val="20FE244B"/>
    <w:rsid w:val="21137D5E"/>
    <w:rsid w:val="21241D08"/>
    <w:rsid w:val="21396715"/>
    <w:rsid w:val="214323C2"/>
    <w:rsid w:val="21502647"/>
    <w:rsid w:val="21544FAD"/>
    <w:rsid w:val="215B5875"/>
    <w:rsid w:val="218F12AA"/>
    <w:rsid w:val="219F1D9A"/>
    <w:rsid w:val="21B704C1"/>
    <w:rsid w:val="21B756AD"/>
    <w:rsid w:val="21C04CD9"/>
    <w:rsid w:val="21C27683"/>
    <w:rsid w:val="21F26A8B"/>
    <w:rsid w:val="220107D0"/>
    <w:rsid w:val="220529B3"/>
    <w:rsid w:val="22101D2A"/>
    <w:rsid w:val="221D42E1"/>
    <w:rsid w:val="22311865"/>
    <w:rsid w:val="223C57DE"/>
    <w:rsid w:val="224108DA"/>
    <w:rsid w:val="227050D7"/>
    <w:rsid w:val="22734F09"/>
    <w:rsid w:val="227E79B9"/>
    <w:rsid w:val="228434F6"/>
    <w:rsid w:val="22AD613A"/>
    <w:rsid w:val="22E758A4"/>
    <w:rsid w:val="22F92B87"/>
    <w:rsid w:val="230B426E"/>
    <w:rsid w:val="232277A0"/>
    <w:rsid w:val="233804C4"/>
    <w:rsid w:val="23636DC0"/>
    <w:rsid w:val="236A12A0"/>
    <w:rsid w:val="237277A6"/>
    <w:rsid w:val="23863645"/>
    <w:rsid w:val="238834A7"/>
    <w:rsid w:val="23A9486D"/>
    <w:rsid w:val="23AB07D5"/>
    <w:rsid w:val="23B51F13"/>
    <w:rsid w:val="23BD58FD"/>
    <w:rsid w:val="23C1532E"/>
    <w:rsid w:val="23C76BA1"/>
    <w:rsid w:val="24003435"/>
    <w:rsid w:val="242D2AA7"/>
    <w:rsid w:val="243B1513"/>
    <w:rsid w:val="243E092F"/>
    <w:rsid w:val="2454233F"/>
    <w:rsid w:val="2455453A"/>
    <w:rsid w:val="24685261"/>
    <w:rsid w:val="24807D48"/>
    <w:rsid w:val="24810645"/>
    <w:rsid w:val="2493603B"/>
    <w:rsid w:val="24A16009"/>
    <w:rsid w:val="24BB2465"/>
    <w:rsid w:val="24C24EA7"/>
    <w:rsid w:val="24D922E2"/>
    <w:rsid w:val="24EC5A28"/>
    <w:rsid w:val="24ED5A61"/>
    <w:rsid w:val="25184A20"/>
    <w:rsid w:val="252C5866"/>
    <w:rsid w:val="252C76FC"/>
    <w:rsid w:val="25374D60"/>
    <w:rsid w:val="25641CE6"/>
    <w:rsid w:val="256441B2"/>
    <w:rsid w:val="257F7EF5"/>
    <w:rsid w:val="25AB1FD4"/>
    <w:rsid w:val="25E10993"/>
    <w:rsid w:val="25E477AD"/>
    <w:rsid w:val="2611294C"/>
    <w:rsid w:val="263126AD"/>
    <w:rsid w:val="264422B3"/>
    <w:rsid w:val="26467F79"/>
    <w:rsid w:val="264C3FE5"/>
    <w:rsid w:val="265A147B"/>
    <w:rsid w:val="267F6424"/>
    <w:rsid w:val="268D04FF"/>
    <w:rsid w:val="269548F3"/>
    <w:rsid w:val="269F7F47"/>
    <w:rsid w:val="26A93E44"/>
    <w:rsid w:val="26B61C37"/>
    <w:rsid w:val="26B61D3E"/>
    <w:rsid w:val="26DA2DA9"/>
    <w:rsid w:val="26E05443"/>
    <w:rsid w:val="26F063C5"/>
    <w:rsid w:val="26F35164"/>
    <w:rsid w:val="270B1759"/>
    <w:rsid w:val="27400FAB"/>
    <w:rsid w:val="27665627"/>
    <w:rsid w:val="278A4CEB"/>
    <w:rsid w:val="27B00972"/>
    <w:rsid w:val="27E74201"/>
    <w:rsid w:val="27FD18D9"/>
    <w:rsid w:val="280169AB"/>
    <w:rsid w:val="28175608"/>
    <w:rsid w:val="281E374D"/>
    <w:rsid w:val="28321498"/>
    <w:rsid w:val="2834210F"/>
    <w:rsid w:val="285813D8"/>
    <w:rsid w:val="285A49AF"/>
    <w:rsid w:val="286E60F2"/>
    <w:rsid w:val="28767C60"/>
    <w:rsid w:val="28821FCD"/>
    <w:rsid w:val="289B1F20"/>
    <w:rsid w:val="28A13370"/>
    <w:rsid w:val="28CF0559"/>
    <w:rsid w:val="28E22DDB"/>
    <w:rsid w:val="28F33950"/>
    <w:rsid w:val="2911751E"/>
    <w:rsid w:val="293070A0"/>
    <w:rsid w:val="294D032D"/>
    <w:rsid w:val="2951526C"/>
    <w:rsid w:val="297074C8"/>
    <w:rsid w:val="29A90400"/>
    <w:rsid w:val="29DF1F45"/>
    <w:rsid w:val="29E23473"/>
    <w:rsid w:val="29F84D36"/>
    <w:rsid w:val="2A11485F"/>
    <w:rsid w:val="2A2200DB"/>
    <w:rsid w:val="2A4820DC"/>
    <w:rsid w:val="2A5B0D7D"/>
    <w:rsid w:val="2A6B0BE8"/>
    <w:rsid w:val="2A801EB9"/>
    <w:rsid w:val="2ADE2ED3"/>
    <w:rsid w:val="2B3251F6"/>
    <w:rsid w:val="2B4B21E8"/>
    <w:rsid w:val="2B50219A"/>
    <w:rsid w:val="2B636266"/>
    <w:rsid w:val="2B7967D0"/>
    <w:rsid w:val="2B840342"/>
    <w:rsid w:val="2B961B1C"/>
    <w:rsid w:val="2B9E5E24"/>
    <w:rsid w:val="2BA63C78"/>
    <w:rsid w:val="2BAF1547"/>
    <w:rsid w:val="2BB9758A"/>
    <w:rsid w:val="2BC53FEE"/>
    <w:rsid w:val="2BCE225A"/>
    <w:rsid w:val="2BEC5735"/>
    <w:rsid w:val="2C027BE2"/>
    <w:rsid w:val="2C152C63"/>
    <w:rsid w:val="2C1D120A"/>
    <w:rsid w:val="2C5B52B6"/>
    <w:rsid w:val="2C663A92"/>
    <w:rsid w:val="2C766481"/>
    <w:rsid w:val="2C9D7065"/>
    <w:rsid w:val="2CA556C9"/>
    <w:rsid w:val="2CB75E06"/>
    <w:rsid w:val="2CDC456C"/>
    <w:rsid w:val="2D3A664A"/>
    <w:rsid w:val="2D3E267D"/>
    <w:rsid w:val="2D416B54"/>
    <w:rsid w:val="2D5C03BA"/>
    <w:rsid w:val="2D6F36C1"/>
    <w:rsid w:val="2D6F672D"/>
    <w:rsid w:val="2D887CE4"/>
    <w:rsid w:val="2D9406F3"/>
    <w:rsid w:val="2DAA6ADC"/>
    <w:rsid w:val="2DB51AE2"/>
    <w:rsid w:val="2DD926C6"/>
    <w:rsid w:val="2DDA6133"/>
    <w:rsid w:val="2DE30170"/>
    <w:rsid w:val="2DFA6081"/>
    <w:rsid w:val="2E0F1D60"/>
    <w:rsid w:val="2E4A04D5"/>
    <w:rsid w:val="2E4C3139"/>
    <w:rsid w:val="2E96713B"/>
    <w:rsid w:val="2E9D64D5"/>
    <w:rsid w:val="2ED11A41"/>
    <w:rsid w:val="2ED82640"/>
    <w:rsid w:val="2EEE56B5"/>
    <w:rsid w:val="2EEF486B"/>
    <w:rsid w:val="2EEF4BFE"/>
    <w:rsid w:val="2EF37446"/>
    <w:rsid w:val="2EFC244E"/>
    <w:rsid w:val="2F061163"/>
    <w:rsid w:val="2F0F6375"/>
    <w:rsid w:val="2F13023B"/>
    <w:rsid w:val="2F1C7D05"/>
    <w:rsid w:val="2F241C75"/>
    <w:rsid w:val="2F27585B"/>
    <w:rsid w:val="2F551E8A"/>
    <w:rsid w:val="2F59139C"/>
    <w:rsid w:val="2F6968C8"/>
    <w:rsid w:val="2F716708"/>
    <w:rsid w:val="2F7762EE"/>
    <w:rsid w:val="2F7C3059"/>
    <w:rsid w:val="2FE66F70"/>
    <w:rsid w:val="2FEA7C2E"/>
    <w:rsid w:val="2FFD180D"/>
    <w:rsid w:val="300E5F36"/>
    <w:rsid w:val="300F5C15"/>
    <w:rsid w:val="301570C1"/>
    <w:rsid w:val="30226DFB"/>
    <w:rsid w:val="30686500"/>
    <w:rsid w:val="309C3CCA"/>
    <w:rsid w:val="30B02C7C"/>
    <w:rsid w:val="31041617"/>
    <w:rsid w:val="3110442E"/>
    <w:rsid w:val="313355DC"/>
    <w:rsid w:val="31543BB8"/>
    <w:rsid w:val="31584468"/>
    <w:rsid w:val="317570CF"/>
    <w:rsid w:val="31C1335B"/>
    <w:rsid w:val="31F3657D"/>
    <w:rsid w:val="31F80DF3"/>
    <w:rsid w:val="32011858"/>
    <w:rsid w:val="320E4112"/>
    <w:rsid w:val="323A1CA8"/>
    <w:rsid w:val="32430581"/>
    <w:rsid w:val="32437B53"/>
    <w:rsid w:val="32586B04"/>
    <w:rsid w:val="326116AE"/>
    <w:rsid w:val="32BA39EA"/>
    <w:rsid w:val="32BC1AC6"/>
    <w:rsid w:val="331129D4"/>
    <w:rsid w:val="33117DAD"/>
    <w:rsid w:val="332D493E"/>
    <w:rsid w:val="3339109A"/>
    <w:rsid w:val="333B3AB8"/>
    <w:rsid w:val="333E375A"/>
    <w:rsid w:val="3347403F"/>
    <w:rsid w:val="335E59D1"/>
    <w:rsid w:val="339908AB"/>
    <w:rsid w:val="33BB6F3A"/>
    <w:rsid w:val="33BF2E12"/>
    <w:rsid w:val="33DA5D0C"/>
    <w:rsid w:val="33E5461A"/>
    <w:rsid w:val="3404511C"/>
    <w:rsid w:val="34402751"/>
    <w:rsid w:val="34437C86"/>
    <w:rsid w:val="344A4B13"/>
    <w:rsid w:val="34530424"/>
    <w:rsid w:val="347A0D2E"/>
    <w:rsid w:val="34B3049B"/>
    <w:rsid w:val="34B63CCA"/>
    <w:rsid w:val="34BA306E"/>
    <w:rsid w:val="34C86835"/>
    <w:rsid w:val="34D325EA"/>
    <w:rsid w:val="34EB6518"/>
    <w:rsid w:val="34FC60A3"/>
    <w:rsid w:val="350757BF"/>
    <w:rsid w:val="35165034"/>
    <w:rsid w:val="351C44ED"/>
    <w:rsid w:val="351F6F15"/>
    <w:rsid w:val="356B2AA7"/>
    <w:rsid w:val="35876C9E"/>
    <w:rsid w:val="35A057B3"/>
    <w:rsid w:val="35BE066C"/>
    <w:rsid w:val="35C2303B"/>
    <w:rsid w:val="35D860B9"/>
    <w:rsid w:val="35EE4D37"/>
    <w:rsid w:val="35FB4E07"/>
    <w:rsid w:val="361B326B"/>
    <w:rsid w:val="364404D8"/>
    <w:rsid w:val="365D5DCE"/>
    <w:rsid w:val="3665534D"/>
    <w:rsid w:val="36753DBA"/>
    <w:rsid w:val="36900C12"/>
    <w:rsid w:val="36967224"/>
    <w:rsid w:val="36C12E1E"/>
    <w:rsid w:val="36C441F4"/>
    <w:rsid w:val="36CF11FA"/>
    <w:rsid w:val="36CF7EA8"/>
    <w:rsid w:val="37126A82"/>
    <w:rsid w:val="37256EF9"/>
    <w:rsid w:val="37466257"/>
    <w:rsid w:val="37567AF9"/>
    <w:rsid w:val="37670CD1"/>
    <w:rsid w:val="37B617A7"/>
    <w:rsid w:val="37D00436"/>
    <w:rsid w:val="37EA368B"/>
    <w:rsid w:val="37FE4A2D"/>
    <w:rsid w:val="38046A2F"/>
    <w:rsid w:val="381C1A6C"/>
    <w:rsid w:val="38471F91"/>
    <w:rsid w:val="384A0A1D"/>
    <w:rsid w:val="388F2DC3"/>
    <w:rsid w:val="389663D2"/>
    <w:rsid w:val="38AF5682"/>
    <w:rsid w:val="38D35143"/>
    <w:rsid w:val="38F31010"/>
    <w:rsid w:val="38F67B81"/>
    <w:rsid w:val="3900559D"/>
    <w:rsid w:val="39230DA1"/>
    <w:rsid w:val="39425C98"/>
    <w:rsid w:val="395E3D53"/>
    <w:rsid w:val="396151F1"/>
    <w:rsid w:val="39636A9E"/>
    <w:rsid w:val="39694D74"/>
    <w:rsid w:val="397221ED"/>
    <w:rsid w:val="39A279B2"/>
    <w:rsid w:val="39C06BB0"/>
    <w:rsid w:val="3A18210D"/>
    <w:rsid w:val="3A3140DA"/>
    <w:rsid w:val="3A4D08E6"/>
    <w:rsid w:val="3A720CC5"/>
    <w:rsid w:val="3A8B2654"/>
    <w:rsid w:val="3AA660EB"/>
    <w:rsid w:val="3AD9302A"/>
    <w:rsid w:val="3AEE3A79"/>
    <w:rsid w:val="3B027DA2"/>
    <w:rsid w:val="3B357AD4"/>
    <w:rsid w:val="3B597479"/>
    <w:rsid w:val="3BB10ABA"/>
    <w:rsid w:val="3BB67FB4"/>
    <w:rsid w:val="3BC40DD7"/>
    <w:rsid w:val="3BE20733"/>
    <w:rsid w:val="3BED5EFA"/>
    <w:rsid w:val="3C07017D"/>
    <w:rsid w:val="3C0719A4"/>
    <w:rsid w:val="3C1B4160"/>
    <w:rsid w:val="3C1D239A"/>
    <w:rsid w:val="3C2B37EE"/>
    <w:rsid w:val="3C500D2A"/>
    <w:rsid w:val="3C9F69BB"/>
    <w:rsid w:val="3CA657FC"/>
    <w:rsid w:val="3CE5122A"/>
    <w:rsid w:val="3CE522C6"/>
    <w:rsid w:val="3CF10C30"/>
    <w:rsid w:val="3D204988"/>
    <w:rsid w:val="3D235FF3"/>
    <w:rsid w:val="3D2854F8"/>
    <w:rsid w:val="3D2F6CB2"/>
    <w:rsid w:val="3D4C6CD2"/>
    <w:rsid w:val="3D4F62A3"/>
    <w:rsid w:val="3DA11311"/>
    <w:rsid w:val="3DA61FF9"/>
    <w:rsid w:val="3DCF03EB"/>
    <w:rsid w:val="3E086B7E"/>
    <w:rsid w:val="3E247898"/>
    <w:rsid w:val="3E2C115E"/>
    <w:rsid w:val="3E3109BC"/>
    <w:rsid w:val="3E3570D6"/>
    <w:rsid w:val="3E431B8D"/>
    <w:rsid w:val="3E6702CC"/>
    <w:rsid w:val="3E6F63BE"/>
    <w:rsid w:val="3E857479"/>
    <w:rsid w:val="3E86407E"/>
    <w:rsid w:val="3E886A47"/>
    <w:rsid w:val="3E910F66"/>
    <w:rsid w:val="3EA96AA9"/>
    <w:rsid w:val="3EDB59FF"/>
    <w:rsid w:val="3EE71A00"/>
    <w:rsid w:val="3EF167F7"/>
    <w:rsid w:val="3F1A7EA0"/>
    <w:rsid w:val="3F28020E"/>
    <w:rsid w:val="3F6D32CC"/>
    <w:rsid w:val="3F8119B9"/>
    <w:rsid w:val="3F8E64FF"/>
    <w:rsid w:val="3FAA6EBC"/>
    <w:rsid w:val="3FB47CD3"/>
    <w:rsid w:val="3FBC23BA"/>
    <w:rsid w:val="3FCC5847"/>
    <w:rsid w:val="3FE172B3"/>
    <w:rsid w:val="3FF16415"/>
    <w:rsid w:val="40130139"/>
    <w:rsid w:val="4015132A"/>
    <w:rsid w:val="40244CDE"/>
    <w:rsid w:val="40251BB8"/>
    <w:rsid w:val="403F7761"/>
    <w:rsid w:val="404E169B"/>
    <w:rsid w:val="40564CC2"/>
    <w:rsid w:val="40665EE1"/>
    <w:rsid w:val="407569F2"/>
    <w:rsid w:val="408141A5"/>
    <w:rsid w:val="40843D64"/>
    <w:rsid w:val="4091164B"/>
    <w:rsid w:val="40C96779"/>
    <w:rsid w:val="40D32D08"/>
    <w:rsid w:val="40E90873"/>
    <w:rsid w:val="410A73D0"/>
    <w:rsid w:val="4123725E"/>
    <w:rsid w:val="412B627E"/>
    <w:rsid w:val="413E4607"/>
    <w:rsid w:val="41527FC3"/>
    <w:rsid w:val="41792568"/>
    <w:rsid w:val="41866F90"/>
    <w:rsid w:val="41AF7284"/>
    <w:rsid w:val="41E608B7"/>
    <w:rsid w:val="420C5EDD"/>
    <w:rsid w:val="420E657A"/>
    <w:rsid w:val="42455B20"/>
    <w:rsid w:val="425C45E8"/>
    <w:rsid w:val="428F6A1F"/>
    <w:rsid w:val="429E624F"/>
    <w:rsid w:val="42C43D93"/>
    <w:rsid w:val="42C87767"/>
    <w:rsid w:val="42D1213F"/>
    <w:rsid w:val="43172A3A"/>
    <w:rsid w:val="431A08DF"/>
    <w:rsid w:val="432C5C58"/>
    <w:rsid w:val="4347610B"/>
    <w:rsid w:val="434B627D"/>
    <w:rsid w:val="434C6F23"/>
    <w:rsid w:val="43587216"/>
    <w:rsid w:val="439415DD"/>
    <w:rsid w:val="439778BF"/>
    <w:rsid w:val="43B87D7D"/>
    <w:rsid w:val="43BA2A92"/>
    <w:rsid w:val="43C50529"/>
    <w:rsid w:val="43CE731E"/>
    <w:rsid w:val="43D45613"/>
    <w:rsid w:val="43D54641"/>
    <w:rsid w:val="43D97187"/>
    <w:rsid w:val="43EB0029"/>
    <w:rsid w:val="43FD68DC"/>
    <w:rsid w:val="44170B0B"/>
    <w:rsid w:val="44267CF4"/>
    <w:rsid w:val="44601289"/>
    <w:rsid w:val="44623EE1"/>
    <w:rsid w:val="44950F21"/>
    <w:rsid w:val="44B64091"/>
    <w:rsid w:val="44D83B3B"/>
    <w:rsid w:val="45007C6D"/>
    <w:rsid w:val="45053BDC"/>
    <w:rsid w:val="451B7869"/>
    <w:rsid w:val="45AB2D07"/>
    <w:rsid w:val="45AF2644"/>
    <w:rsid w:val="45B04F39"/>
    <w:rsid w:val="45B148F5"/>
    <w:rsid w:val="45D0497C"/>
    <w:rsid w:val="45ED668E"/>
    <w:rsid w:val="46015DA2"/>
    <w:rsid w:val="4612237D"/>
    <w:rsid w:val="465B7751"/>
    <w:rsid w:val="466D7BEB"/>
    <w:rsid w:val="46971316"/>
    <w:rsid w:val="46B23729"/>
    <w:rsid w:val="46B83BF4"/>
    <w:rsid w:val="46BE7B99"/>
    <w:rsid w:val="46C92054"/>
    <w:rsid w:val="471B7FC5"/>
    <w:rsid w:val="47263838"/>
    <w:rsid w:val="47504AF0"/>
    <w:rsid w:val="476E7EDD"/>
    <w:rsid w:val="476F0370"/>
    <w:rsid w:val="47797AE1"/>
    <w:rsid w:val="47940726"/>
    <w:rsid w:val="47A3703C"/>
    <w:rsid w:val="47B101D3"/>
    <w:rsid w:val="47B91FC9"/>
    <w:rsid w:val="47E428EF"/>
    <w:rsid w:val="48235870"/>
    <w:rsid w:val="484F565D"/>
    <w:rsid w:val="48615436"/>
    <w:rsid w:val="489C5EF3"/>
    <w:rsid w:val="48A81677"/>
    <w:rsid w:val="48A9768F"/>
    <w:rsid w:val="48C43E73"/>
    <w:rsid w:val="48ED70E0"/>
    <w:rsid w:val="48F105F6"/>
    <w:rsid w:val="49472D8A"/>
    <w:rsid w:val="495A2F3B"/>
    <w:rsid w:val="498273B3"/>
    <w:rsid w:val="4998654A"/>
    <w:rsid w:val="49BE5091"/>
    <w:rsid w:val="49C226DE"/>
    <w:rsid w:val="49C86223"/>
    <w:rsid w:val="49D74496"/>
    <w:rsid w:val="49DC671F"/>
    <w:rsid w:val="49F2175B"/>
    <w:rsid w:val="4A20447A"/>
    <w:rsid w:val="4A2C3A0B"/>
    <w:rsid w:val="4A3D3CED"/>
    <w:rsid w:val="4A43443C"/>
    <w:rsid w:val="4A55187D"/>
    <w:rsid w:val="4A5966DC"/>
    <w:rsid w:val="4A611490"/>
    <w:rsid w:val="4A7140C8"/>
    <w:rsid w:val="4A7C200B"/>
    <w:rsid w:val="4AB25556"/>
    <w:rsid w:val="4AC144DE"/>
    <w:rsid w:val="4ACB6612"/>
    <w:rsid w:val="4ADC77E6"/>
    <w:rsid w:val="4AED59DA"/>
    <w:rsid w:val="4AF037AC"/>
    <w:rsid w:val="4AF52E56"/>
    <w:rsid w:val="4AF71B39"/>
    <w:rsid w:val="4B0E6619"/>
    <w:rsid w:val="4B1967A0"/>
    <w:rsid w:val="4B1D06C2"/>
    <w:rsid w:val="4B4310CF"/>
    <w:rsid w:val="4B4518D8"/>
    <w:rsid w:val="4B5D688B"/>
    <w:rsid w:val="4B912D80"/>
    <w:rsid w:val="4B9E20E7"/>
    <w:rsid w:val="4BA11687"/>
    <w:rsid w:val="4BCC4010"/>
    <w:rsid w:val="4BEF5166"/>
    <w:rsid w:val="4BFD7A7B"/>
    <w:rsid w:val="4C6C2EDE"/>
    <w:rsid w:val="4C72575C"/>
    <w:rsid w:val="4C760D58"/>
    <w:rsid w:val="4C7D569F"/>
    <w:rsid w:val="4C876114"/>
    <w:rsid w:val="4CB54896"/>
    <w:rsid w:val="4CB62080"/>
    <w:rsid w:val="4CBA117D"/>
    <w:rsid w:val="4CBD3BC1"/>
    <w:rsid w:val="4D1415E0"/>
    <w:rsid w:val="4D3560DE"/>
    <w:rsid w:val="4D4974FD"/>
    <w:rsid w:val="4D4F15B3"/>
    <w:rsid w:val="4D5E4D41"/>
    <w:rsid w:val="4D6F0ABE"/>
    <w:rsid w:val="4D893CB6"/>
    <w:rsid w:val="4D8A5456"/>
    <w:rsid w:val="4D8C5D47"/>
    <w:rsid w:val="4D973652"/>
    <w:rsid w:val="4DA43107"/>
    <w:rsid w:val="4DD1284D"/>
    <w:rsid w:val="4DDB70DE"/>
    <w:rsid w:val="4DE734DB"/>
    <w:rsid w:val="4DF365DD"/>
    <w:rsid w:val="4DFD1F9D"/>
    <w:rsid w:val="4E7E6DB1"/>
    <w:rsid w:val="4ED46B33"/>
    <w:rsid w:val="4EDE2F4D"/>
    <w:rsid w:val="4EDE7B0B"/>
    <w:rsid w:val="4EDF56B7"/>
    <w:rsid w:val="4EF82972"/>
    <w:rsid w:val="4EFD775D"/>
    <w:rsid w:val="4F0C2920"/>
    <w:rsid w:val="4F102512"/>
    <w:rsid w:val="4F2C54FE"/>
    <w:rsid w:val="4F3A77BD"/>
    <w:rsid w:val="4F5E7E2F"/>
    <w:rsid w:val="4F605FB7"/>
    <w:rsid w:val="4F910BEF"/>
    <w:rsid w:val="4FC80997"/>
    <w:rsid w:val="4FD16E5C"/>
    <w:rsid w:val="4FD37F41"/>
    <w:rsid w:val="4FEB2C7B"/>
    <w:rsid w:val="50293FD4"/>
    <w:rsid w:val="50390E6A"/>
    <w:rsid w:val="50951597"/>
    <w:rsid w:val="50B45356"/>
    <w:rsid w:val="50E115AD"/>
    <w:rsid w:val="50E83851"/>
    <w:rsid w:val="51080AB9"/>
    <w:rsid w:val="5145635E"/>
    <w:rsid w:val="51876FF5"/>
    <w:rsid w:val="51971209"/>
    <w:rsid w:val="51B709AE"/>
    <w:rsid w:val="51C00EA9"/>
    <w:rsid w:val="51C84431"/>
    <w:rsid w:val="52064356"/>
    <w:rsid w:val="523F098C"/>
    <w:rsid w:val="525D61DF"/>
    <w:rsid w:val="525E57D6"/>
    <w:rsid w:val="52713518"/>
    <w:rsid w:val="52713928"/>
    <w:rsid w:val="5277730A"/>
    <w:rsid w:val="528C115C"/>
    <w:rsid w:val="52A40446"/>
    <w:rsid w:val="52BE53C0"/>
    <w:rsid w:val="53002C00"/>
    <w:rsid w:val="53204F34"/>
    <w:rsid w:val="53335F7C"/>
    <w:rsid w:val="53361083"/>
    <w:rsid w:val="53502FA8"/>
    <w:rsid w:val="53506773"/>
    <w:rsid w:val="535D4717"/>
    <w:rsid w:val="53633FEB"/>
    <w:rsid w:val="5369546B"/>
    <w:rsid w:val="53837E04"/>
    <w:rsid w:val="53882F8D"/>
    <w:rsid w:val="53972BFD"/>
    <w:rsid w:val="539737B7"/>
    <w:rsid w:val="53D77686"/>
    <w:rsid w:val="540D1CAA"/>
    <w:rsid w:val="542131D0"/>
    <w:rsid w:val="54256BAF"/>
    <w:rsid w:val="543200ED"/>
    <w:rsid w:val="54324861"/>
    <w:rsid w:val="54464C33"/>
    <w:rsid w:val="546E5965"/>
    <w:rsid w:val="54710B14"/>
    <w:rsid w:val="5473394E"/>
    <w:rsid w:val="54757943"/>
    <w:rsid w:val="547B27BA"/>
    <w:rsid w:val="54810B21"/>
    <w:rsid w:val="54AB0A98"/>
    <w:rsid w:val="54C25FE6"/>
    <w:rsid w:val="54D066BF"/>
    <w:rsid w:val="54D754EF"/>
    <w:rsid w:val="54DC4868"/>
    <w:rsid w:val="54F2098C"/>
    <w:rsid w:val="54FC2F23"/>
    <w:rsid w:val="551A477F"/>
    <w:rsid w:val="55244313"/>
    <w:rsid w:val="552911D0"/>
    <w:rsid w:val="55303B52"/>
    <w:rsid w:val="556F2B30"/>
    <w:rsid w:val="55750921"/>
    <w:rsid w:val="55D107F1"/>
    <w:rsid w:val="55D41E74"/>
    <w:rsid w:val="55D96504"/>
    <w:rsid w:val="5639046E"/>
    <w:rsid w:val="56562875"/>
    <w:rsid w:val="56710909"/>
    <w:rsid w:val="567766B9"/>
    <w:rsid w:val="568441D0"/>
    <w:rsid w:val="569D50F6"/>
    <w:rsid w:val="56A379A6"/>
    <w:rsid w:val="56B73F7D"/>
    <w:rsid w:val="56C7269B"/>
    <w:rsid w:val="56CB3E3A"/>
    <w:rsid w:val="56D55E98"/>
    <w:rsid w:val="56DD7B73"/>
    <w:rsid w:val="56EC1526"/>
    <w:rsid w:val="56FA6E99"/>
    <w:rsid w:val="570A5664"/>
    <w:rsid w:val="570E594D"/>
    <w:rsid w:val="57182C10"/>
    <w:rsid w:val="5723524B"/>
    <w:rsid w:val="572A65AA"/>
    <w:rsid w:val="575153DB"/>
    <w:rsid w:val="575C4778"/>
    <w:rsid w:val="5765631F"/>
    <w:rsid w:val="579B0132"/>
    <w:rsid w:val="57AA53E3"/>
    <w:rsid w:val="57AD5628"/>
    <w:rsid w:val="57E567DB"/>
    <w:rsid w:val="57F15DDE"/>
    <w:rsid w:val="57F83730"/>
    <w:rsid w:val="58055086"/>
    <w:rsid w:val="5820656B"/>
    <w:rsid w:val="58214E31"/>
    <w:rsid w:val="58224AEE"/>
    <w:rsid w:val="58435D04"/>
    <w:rsid w:val="58491D9C"/>
    <w:rsid w:val="58500EE1"/>
    <w:rsid w:val="587C7D7E"/>
    <w:rsid w:val="58876936"/>
    <w:rsid w:val="58901065"/>
    <w:rsid w:val="589A0BCC"/>
    <w:rsid w:val="58BE1A0C"/>
    <w:rsid w:val="58EC4729"/>
    <w:rsid w:val="59253D10"/>
    <w:rsid w:val="593C2D0F"/>
    <w:rsid w:val="593E2BF1"/>
    <w:rsid w:val="59523C4B"/>
    <w:rsid w:val="59572DFA"/>
    <w:rsid w:val="598A5538"/>
    <w:rsid w:val="59A1608D"/>
    <w:rsid w:val="59B96059"/>
    <w:rsid w:val="5A3C2244"/>
    <w:rsid w:val="5A8C2D19"/>
    <w:rsid w:val="5A9527BD"/>
    <w:rsid w:val="5AAE2E5C"/>
    <w:rsid w:val="5AB30CCF"/>
    <w:rsid w:val="5ABD494F"/>
    <w:rsid w:val="5ADC1B95"/>
    <w:rsid w:val="5AF13ADD"/>
    <w:rsid w:val="5B123F16"/>
    <w:rsid w:val="5B153481"/>
    <w:rsid w:val="5B16347A"/>
    <w:rsid w:val="5B1977B8"/>
    <w:rsid w:val="5B222488"/>
    <w:rsid w:val="5B2E6775"/>
    <w:rsid w:val="5B3E65FC"/>
    <w:rsid w:val="5B5A4D76"/>
    <w:rsid w:val="5B696C4E"/>
    <w:rsid w:val="5B782140"/>
    <w:rsid w:val="5B7D5E80"/>
    <w:rsid w:val="5BA96F9A"/>
    <w:rsid w:val="5BC70431"/>
    <w:rsid w:val="5BEB7C8D"/>
    <w:rsid w:val="5BF758F6"/>
    <w:rsid w:val="5C221C6D"/>
    <w:rsid w:val="5C6E029B"/>
    <w:rsid w:val="5C8B7891"/>
    <w:rsid w:val="5CAA1B16"/>
    <w:rsid w:val="5CC63D49"/>
    <w:rsid w:val="5CC94E71"/>
    <w:rsid w:val="5CDB2567"/>
    <w:rsid w:val="5D087993"/>
    <w:rsid w:val="5D5A509F"/>
    <w:rsid w:val="5D8041F1"/>
    <w:rsid w:val="5D977FCB"/>
    <w:rsid w:val="5D9C5038"/>
    <w:rsid w:val="5DA36839"/>
    <w:rsid w:val="5DCD02CA"/>
    <w:rsid w:val="5DD2783C"/>
    <w:rsid w:val="5DD62E17"/>
    <w:rsid w:val="5DF91C8C"/>
    <w:rsid w:val="5E227A4B"/>
    <w:rsid w:val="5E4A208E"/>
    <w:rsid w:val="5E862C79"/>
    <w:rsid w:val="5EA96479"/>
    <w:rsid w:val="5EAC6BFD"/>
    <w:rsid w:val="5EB52788"/>
    <w:rsid w:val="5EC11D7B"/>
    <w:rsid w:val="5ECD71DA"/>
    <w:rsid w:val="5ED45F81"/>
    <w:rsid w:val="5EDA5FA7"/>
    <w:rsid w:val="5EE72EA5"/>
    <w:rsid w:val="5F0B6244"/>
    <w:rsid w:val="5F117286"/>
    <w:rsid w:val="5F1C4050"/>
    <w:rsid w:val="5F4C7471"/>
    <w:rsid w:val="5F651406"/>
    <w:rsid w:val="5F785AEE"/>
    <w:rsid w:val="5F92710F"/>
    <w:rsid w:val="5FC454DF"/>
    <w:rsid w:val="5FE04D67"/>
    <w:rsid w:val="5FE42DDF"/>
    <w:rsid w:val="5FE47811"/>
    <w:rsid w:val="5FE6527B"/>
    <w:rsid w:val="5FF267BF"/>
    <w:rsid w:val="601C1D62"/>
    <w:rsid w:val="6023607D"/>
    <w:rsid w:val="604D0F99"/>
    <w:rsid w:val="605541EE"/>
    <w:rsid w:val="60587F44"/>
    <w:rsid w:val="605A4DF4"/>
    <w:rsid w:val="60736875"/>
    <w:rsid w:val="608A44C4"/>
    <w:rsid w:val="6090522B"/>
    <w:rsid w:val="609D33C5"/>
    <w:rsid w:val="60A37978"/>
    <w:rsid w:val="60B563A9"/>
    <w:rsid w:val="60D20C11"/>
    <w:rsid w:val="60F07BDF"/>
    <w:rsid w:val="60F41BB5"/>
    <w:rsid w:val="61026D3B"/>
    <w:rsid w:val="6129645E"/>
    <w:rsid w:val="614E7231"/>
    <w:rsid w:val="61530389"/>
    <w:rsid w:val="615E6ABE"/>
    <w:rsid w:val="617921FA"/>
    <w:rsid w:val="617C70C4"/>
    <w:rsid w:val="61CC090B"/>
    <w:rsid w:val="61D455CB"/>
    <w:rsid w:val="61E56560"/>
    <w:rsid w:val="61FF17B8"/>
    <w:rsid w:val="620B4878"/>
    <w:rsid w:val="624050C6"/>
    <w:rsid w:val="624F0BB5"/>
    <w:rsid w:val="626233FE"/>
    <w:rsid w:val="62650771"/>
    <w:rsid w:val="62743F95"/>
    <w:rsid w:val="62AD5B80"/>
    <w:rsid w:val="62C714B2"/>
    <w:rsid w:val="62C87FDF"/>
    <w:rsid w:val="62D4314C"/>
    <w:rsid w:val="62F167C1"/>
    <w:rsid w:val="62F22597"/>
    <w:rsid w:val="62F52918"/>
    <w:rsid w:val="63042580"/>
    <w:rsid w:val="634336C8"/>
    <w:rsid w:val="63641B53"/>
    <w:rsid w:val="63765643"/>
    <w:rsid w:val="63863748"/>
    <w:rsid w:val="638F6701"/>
    <w:rsid w:val="6398658C"/>
    <w:rsid w:val="63D056E8"/>
    <w:rsid w:val="63E263DC"/>
    <w:rsid w:val="63F556A1"/>
    <w:rsid w:val="63FF29CF"/>
    <w:rsid w:val="640B3B2E"/>
    <w:rsid w:val="64231E20"/>
    <w:rsid w:val="64296E57"/>
    <w:rsid w:val="6441576B"/>
    <w:rsid w:val="64614193"/>
    <w:rsid w:val="646F40C9"/>
    <w:rsid w:val="647A41E0"/>
    <w:rsid w:val="647D7BA5"/>
    <w:rsid w:val="64957A48"/>
    <w:rsid w:val="649E40A8"/>
    <w:rsid w:val="64E80956"/>
    <w:rsid w:val="652F3313"/>
    <w:rsid w:val="65324FAC"/>
    <w:rsid w:val="654822CC"/>
    <w:rsid w:val="654C19DD"/>
    <w:rsid w:val="65662198"/>
    <w:rsid w:val="657E37A9"/>
    <w:rsid w:val="6599663C"/>
    <w:rsid w:val="65CB7EED"/>
    <w:rsid w:val="65CE77D1"/>
    <w:rsid w:val="65CF68B7"/>
    <w:rsid w:val="65DF2547"/>
    <w:rsid w:val="65EF2B38"/>
    <w:rsid w:val="66033D98"/>
    <w:rsid w:val="66210152"/>
    <w:rsid w:val="66264DAE"/>
    <w:rsid w:val="663A5D97"/>
    <w:rsid w:val="664864FC"/>
    <w:rsid w:val="66803745"/>
    <w:rsid w:val="66905910"/>
    <w:rsid w:val="66A97EAC"/>
    <w:rsid w:val="66C46E74"/>
    <w:rsid w:val="66D43981"/>
    <w:rsid w:val="66E55C76"/>
    <w:rsid w:val="66F94010"/>
    <w:rsid w:val="670E5719"/>
    <w:rsid w:val="67385995"/>
    <w:rsid w:val="67412CBD"/>
    <w:rsid w:val="67424401"/>
    <w:rsid w:val="675C0A56"/>
    <w:rsid w:val="6783626C"/>
    <w:rsid w:val="67BE7647"/>
    <w:rsid w:val="67C17C43"/>
    <w:rsid w:val="67D37BDC"/>
    <w:rsid w:val="67DF05A3"/>
    <w:rsid w:val="67E01F7A"/>
    <w:rsid w:val="67EE6066"/>
    <w:rsid w:val="67F237DA"/>
    <w:rsid w:val="682A4CD9"/>
    <w:rsid w:val="682F6737"/>
    <w:rsid w:val="68332670"/>
    <w:rsid w:val="68383F5F"/>
    <w:rsid w:val="683C1FEC"/>
    <w:rsid w:val="68602410"/>
    <w:rsid w:val="687A442C"/>
    <w:rsid w:val="689271A9"/>
    <w:rsid w:val="68A30C34"/>
    <w:rsid w:val="68AC25AA"/>
    <w:rsid w:val="68B76AE8"/>
    <w:rsid w:val="68B9064B"/>
    <w:rsid w:val="68BA4DF5"/>
    <w:rsid w:val="68BF34E7"/>
    <w:rsid w:val="68C775E4"/>
    <w:rsid w:val="68D33DD1"/>
    <w:rsid w:val="68DE3D99"/>
    <w:rsid w:val="692C4969"/>
    <w:rsid w:val="693426B8"/>
    <w:rsid w:val="6947739B"/>
    <w:rsid w:val="69695D51"/>
    <w:rsid w:val="697820C0"/>
    <w:rsid w:val="698F7EAF"/>
    <w:rsid w:val="69A35194"/>
    <w:rsid w:val="69B17706"/>
    <w:rsid w:val="69BD2E7F"/>
    <w:rsid w:val="69DF0A0A"/>
    <w:rsid w:val="69F10492"/>
    <w:rsid w:val="6A070AB4"/>
    <w:rsid w:val="6A082123"/>
    <w:rsid w:val="6A1C7AC4"/>
    <w:rsid w:val="6A1D7D73"/>
    <w:rsid w:val="6A275108"/>
    <w:rsid w:val="6A3E6B50"/>
    <w:rsid w:val="6A3F7653"/>
    <w:rsid w:val="6A410DA8"/>
    <w:rsid w:val="6A4E1D0F"/>
    <w:rsid w:val="6A5D0CE7"/>
    <w:rsid w:val="6A5E75D5"/>
    <w:rsid w:val="6A5F65D0"/>
    <w:rsid w:val="6A901879"/>
    <w:rsid w:val="6A9A3105"/>
    <w:rsid w:val="6A9C426B"/>
    <w:rsid w:val="6ACB5E8C"/>
    <w:rsid w:val="6ACE1988"/>
    <w:rsid w:val="6AD309E9"/>
    <w:rsid w:val="6ADB78D0"/>
    <w:rsid w:val="6AE163D2"/>
    <w:rsid w:val="6AEC49F2"/>
    <w:rsid w:val="6B1904E2"/>
    <w:rsid w:val="6B2636C7"/>
    <w:rsid w:val="6B2F0D45"/>
    <w:rsid w:val="6B48728B"/>
    <w:rsid w:val="6B490EC4"/>
    <w:rsid w:val="6B507BB8"/>
    <w:rsid w:val="6B6016D9"/>
    <w:rsid w:val="6B684B5A"/>
    <w:rsid w:val="6B81319C"/>
    <w:rsid w:val="6BAE5BEA"/>
    <w:rsid w:val="6BB97009"/>
    <w:rsid w:val="6BDC415B"/>
    <w:rsid w:val="6BE25EDF"/>
    <w:rsid w:val="6BE94825"/>
    <w:rsid w:val="6BED7D84"/>
    <w:rsid w:val="6C2A5B67"/>
    <w:rsid w:val="6C2D286F"/>
    <w:rsid w:val="6C366887"/>
    <w:rsid w:val="6C4B6858"/>
    <w:rsid w:val="6C5F67B5"/>
    <w:rsid w:val="6C774322"/>
    <w:rsid w:val="6C801D5A"/>
    <w:rsid w:val="6C820440"/>
    <w:rsid w:val="6C825C7F"/>
    <w:rsid w:val="6C907EC5"/>
    <w:rsid w:val="6C994514"/>
    <w:rsid w:val="6C9F5FAC"/>
    <w:rsid w:val="6CA83199"/>
    <w:rsid w:val="6CAC7408"/>
    <w:rsid w:val="6CBB1B03"/>
    <w:rsid w:val="6CBD04D2"/>
    <w:rsid w:val="6CC13B27"/>
    <w:rsid w:val="6CC77CFD"/>
    <w:rsid w:val="6D1C4BC7"/>
    <w:rsid w:val="6D1C5455"/>
    <w:rsid w:val="6D57095A"/>
    <w:rsid w:val="6D9427FE"/>
    <w:rsid w:val="6DBF76D7"/>
    <w:rsid w:val="6DC4184D"/>
    <w:rsid w:val="6DC57E3E"/>
    <w:rsid w:val="6DD74EE2"/>
    <w:rsid w:val="6DF51AC0"/>
    <w:rsid w:val="6DFB3B82"/>
    <w:rsid w:val="6E1700CA"/>
    <w:rsid w:val="6E225A4F"/>
    <w:rsid w:val="6E5A687E"/>
    <w:rsid w:val="6E76579C"/>
    <w:rsid w:val="6E7A5F6D"/>
    <w:rsid w:val="6E854362"/>
    <w:rsid w:val="6E99078F"/>
    <w:rsid w:val="6EB21271"/>
    <w:rsid w:val="6EC520AE"/>
    <w:rsid w:val="6EC57808"/>
    <w:rsid w:val="6ECC07A7"/>
    <w:rsid w:val="6ED1394E"/>
    <w:rsid w:val="6EE85E9D"/>
    <w:rsid w:val="6EF05EB4"/>
    <w:rsid w:val="6F006BD7"/>
    <w:rsid w:val="6F0428A6"/>
    <w:rsid w:val="6F055E2F"/>
    <w:rsid w:val="6F0A6E80"/>
    <w:rsid w:val="6F1A02DA"/>
    <w:rsid w:val="6F1F63C4"/>
    <w:rsid w:val="6F2B7B3C"/>
    <w:rsid w:val="6F414A9D"/>
    <w:rsid w:val="6F961497"/>
    <w:rsid w:val="6FAD2038"/>
    <w:rsid w:val="6FD32A4F"/>
    <w:rsid w:val="6FE46A48"/>
    <w:rsid w:val="6FF32F5D"/>
    <w:rsid w:val="6FF74CF3"/>
    <w:rsid w:val="6FFA4710"/>
    <w:rsid w:val="70096C6A"/>
    <w:rsid w:val="701053C1"/>
    <w:rsid w:val="701C5692"/>
    <w:rsid w:val="702E2D34"/>
    <w:rsid w:val="703B7AB0"/>
    <w:rsid w:val="70454FE3"/>
    <w:rsid w:val="704F76F0"/>
    <w:rsid w:val="7064053C"/>
    <w:rsid w:val="707650C7"/>
    <w:rsid w:val="709C5119"/>
    <w:rsid w:val="70A14700"/>
    <w:rsid w:val="71043407"/>
    <w:rsid w:val="711D6F01"/>
    <w:rsid w:val="714A142A"/>
    <w:rsid w:val="71551387"/>
    <w:rsid w:val="71704043"/>
    <w:rsid w:val="717B3856"/>
    <w:rsid w:val="71877882"/>
    <w:rsid w:val="71A411A9"/>
    <w:rsid w:val="71A66635"/>
    <w:rsid w:val="71C667C5"/>
    <w:rsid w:val="71D116C0"/>
    <w:rsid w:val="71E75210"/>
    <w:rsid w:val="71FE5203"/>
    <w:rsid w:val="720503B4"/>
    <w:rsid w:val="72173BE6"/>
    <w:rsid w:val="723024A9"/>
    <w:rsid w:val="72316CA0"/>
    <w:rsid w:val="725808F0"/>
    <w:rsid w:val="72793D17"/>
    <w:rsid w:val="728168FE"/>
    <w:rsid w:val="728746E2"/>
    <w:rsid w:val="72910992"/>
    <w:rsid w:val="72CD3221"/>
    <w:rsid w:val="72E45B5F"/>
    <w:rsid w:val="731F2945"/>
    <w:rsid w:val="73396905"/>
    <w:rsid w:val="733C747A"/>
    <w:rsid w:val="735A45E1"/>
    <w:rsid w:val="735C7682"/>
    <w:rsid w:val="738E6A75"/>
    <w:rsid w:val="73990293"/>
    <w:rsid w:val="73CA3252"/>
    <w:rsid w:val="73CB751B"/>
    <w:rsid w:val="73E33F3B"/>
    <w:rsid w:val="73EF2168"/>
    <w:rsid w:val="74236819"/>
    <w:rsid w:val="744F3671"/>
    <w:rsid w:val="74667AA3"/>
    <w:rsid w:val="74BD5C9F"/>
    <w:rsid w:val="74BD7CA9"/>
    <w:rsid w:val="74D27B66"/>
    <w:rsid w:val="74E2004E"/>
    <w:rsid w:val="75151FF7"/>
    <w:rsid w:val="75444AD1"/>
    <w:rsid w:val="755B6E14"/>
    <w:rsid w:val="75645F08"/>
    <w:rsid w:val="757845D5"/>
    <w:rsid w:val="75A30855"/>
    <w:rsid w:val="75A329F8"/>
    <w:rsid w:val="75BA5923"/>
    <w:rsid w:val="75D57A06"/>
    <w:rsid w:val="75F403AA"/>
    <w:rsid w:val="76140B30"/>
    <w:rsid w:val="7628346B"/>
    <w:rsid w:val="762C53C9"/>
    <w:rsid w:val="762E056F"/>
    <w:rsid w:val="764E7264"/>
    <w:rsid w:val="765F3C3E"/>
    <w:rsid w:val="76730B5D"/>
    <w:rsid w:val="769C50A3"/>
    <w:rsid w:val="76AB4786"/>
    <w:rsid w:val="770C5669"/>
    <w:rsid w:val="770C7169"/>
    <w:rsid w:val="772A5311"/>
    <w:rsid w:val="77515C98"/>
    <w:rsid w:val="77524C9D"/>
    <w:rsid w:val="775340A3"/>
    <w:rsid w:val="77552B52"/>
    <w:rsid w:val="776A3ABE"/>
    <w:rsid w:val="77851980"/>
    <w:rsid w:val="778A3C4F"/>
    <w:rsid w:val="779D40FB"/>
    <w:rsid w:val="77C929D7"/>
    <w:rsid w:val="77CB4A57"/>
    <w:rsid w:val="77DF3A67"/>
    <w:rsid w:val="781E6E97"/>
    <w:rsid w:val="78410D84"/>
    <w:rsid w:val="78463046"/>
    <w:rsid w:val="78496C5D"/>
    <w:rsid w:val="78564754"/>
    <w:rsid w:val="786D5FCB"/>
    <w:rsid w:val="78854244"/>
    <w:rsid w:val="78897132"/>
    <w:rsid w:val="789C2F83"/>
    <w:rsid w:val="78BA5788"/>
    <w:rsid w:val="78E928E0"/>
    <w:rsid w:val="7934228E"/>
    <w:rsid w:val="793B6AFA"/>
    <w:rsid w:val="7950464E"/>
    <w:rsid w:val="795367E4"/>
    <w:rsid w:val="79561C8D"/>
    <w:rsid w:val="79706298"/>
    <w:rsid w:val="798C3346"/>
    <w:rsid w:val="79B53A00"/>
    <w:rsid w:val="79D51254"/>
    <w:rsid w:val="7A280BBE"/>
    <w:rsid w:val="7A3731E0"/>
    <w:rsid w:val="7A38355C"/>
    <w:rsid w:val="7A3C3745"/>
    <w:rsid w:val="7A562521"/>
    <w:rsid w:val="7A7453CA"/>
    <w:rsid w:val="7A8D7009"/>
    <w:rsid w:val="7A963F91"/>
    <w:rsid w:val="7A980CDD"/>
    <w:rsid w:val="7AB2473B"/>
    <w:rsid w:val="7AB41BEB"/>
    <w:rsid w:val="7AEF2FB2"/>
    <w:rsid w:val="7AF4137B"/>
    <w:rsid w:val="7B1A2828"/>
    <w:rsid w:val="7B1D0683"/>
    <w:rsid w:val="7B5475F4"/>
    <w:rsid w:val="7B6F4AF6"/>
    <w:rsid w:val="7B751B37"/>
    <w:rsid w:val="7B7C04B7"/>
    <w:rsid w:val="7BA80695"/>
    <w:rsid w:val="7BB07E66"/>
    <w:rsid w:val="7BB67744"/>
    <w:rsid w:val="7BC347CB"/>
    <w:rsid w:val="7BC60683"/>
    <w:rsid w:val="7BC811D3"/>
    <w:rsid w:val="7BCA5CBA"/>
    <w:rsid w:val="7BD448DB"/>
    <w:rsid w:val="7BDA1442"/>
    <w:rsid w:val="7BF026DF"/>
    <w:rsid w:val="7BF61830"/>
    <w:rsid w:val="7BF629F5"/>
    <w:rsid w:val="7C1506E2"/>
    <w:rsid w:val="7C324EFE"/>
    <w:rsid w:val="7C366F96"/>
    <w:rsid w:val="7C4F6387"/>
    <w:rsid w:val="7C50783F"/>
    <w:rsid w:val="7C8430E7"/>
    <w:rsid w:val="7C8A63F7"/>
    <w:rsid w:val="7C9D798A"/>
    <w:rsid w:val="7CA44AAE"/>
    <w:rsid w:val="7CB04651"/>
    <w:rsid w:val="7CB0547B"/>
    <w:rsid w:val="7D044F8C"/>
    <w:rsid w:val="7D312DE0"/>
    <w:rsid w:val="7D570DB9"/>
    <w:rsid w:val="7D5B40D9"/>
    <w:rsid w:val="7D633766"/>
    <w:rsid w:val="7D8354A1"/>
    <w:rsid w:val="7DBA7EB0"/>
    <w:rsid w:val="7DC76056"/>
    <w:rsid w:val="7DD26553"/>
    <w:rsid w:val="7DD729B3"/>
    <w:rsid w:val="7DD7655E"/>
    <w:rsid w:val="7DE41E3D"/>
    <w:rsid w:val="7E0A5CA7"/>
    <w:rsid w:val="7E0D6933"/>
    <w:rsid w:val="7E161804"/>
    <w:rsid w:val="7E342C4E"/>
    <w:rsid w:val="7E496572"/>
    <w:rsid w:val="7E594C17"/>
    <w:rsid w:val="7E761EDB"/>
    <w:rsid w:val="7E9C68EE"/>
    <w:rsid w:val="7EA86870"/>
    <w:rsid w:val="7EB71664"/>
    <w:rsid w:val="7EB95247"/>
    <w:rsid w:val="7EBE3DB9"/>
    <w:rsid w:val="7ECB26F0"/>
    <w:rsid w:val="7ECB3218"/>
    <w:rsid w:val="7ED44CF6"/>
    <w:rsid w:val="7F290B2A"/>
    <w:rsid w:val="7F291324"/>
    <w:rsid w:val="7F49518F"/>
    <w:rsid w:val="7F5143E2"/>
    <w:rsid w:val="7F5D12B9"/>
    <w:rsid w:val="7F84720D"/>
    <w:rsid w:val="7F961471"/>
    <w:rsid w:val="7FA81F02"/>
    <w:rsid w:val="7FAC266B"/>
    <w:rsid w:val="7FCD7028"/>
    <w:rsid w:val="7FDB4551"/>
    <w:rsid w:val="7FDC2527"/>
    <w:rsid w:val="7FDF60C4"/>
    <w:rsid w:val="7FE0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自评报告正文"/>
    <w:basedOn w:val="3"/>
    <w:qFormat/>
    <w:uiPriority w:val="0"/>
    <w:pPr>
      <w:widowControl/>
      <w:spacing w:before="40" w:after="40" w:line="240" w:lineRule="auto"/>
      <w:ind w:firstLine="643" w:firstLineChars="200"/>
    </w:pPr>
    <w:rPr>
      <w:rFonts w:ascii="仿宋" w:hAnsi="仿宋" w:cstheme="minorBidi"/>
      <w:sz w:val="32"/>
      <w:szCs w:val="22"/>
    </w:rPr>
  </w:style>
  <w:style w:type="paragraph" w:styleId="3">
    <w:name w:val="Normal (Web)"/>
    <w:basedOn w:val="1"/>
    <w:semiHidden/>
    <w:unhideWhenUsed/>
    <w:qFormat/>
    <w:uiPriority w:val="99"/>
    <w:rPr>
      <w:sz w:val="24"/>
    </w:rPr>
  </w:style>
  <w:style w:type="paragraph" w:styleId="7">
    <w:name w:val="annotation text"/>
    <w:basedOn w:val="1"/>
    <w:semiHidden/>
    <w:unhideWhenUsed/>
    <w:qFormat/>
    <w:uiPriority w:val="99"/>
    <w:pPr>
      <w:jc w:val="left"/>
    </w:pPr>
  </w:style>
  <w:style w:type="paragraph" w:styleId="8">
    <w:name w:val="Body Text"/>
    <w:basedOn w:val="1"/>
    <w:link w:val="29"/>
    <w:qFormat/>
    <w:uiPriority w:val="0"/>
    <w:pPr>
      <w:spacing w:after="120" w:afterLines="0" w:afterAutospacing="0"/>
    </w:pPr>
  </w:style>
  <w:style w:type="paragraph" w:styleId="9">
    <w:name w:val="toc 3"/>
    <w:basedOn w:val="1"/>
    <w:next w:val="1"/>
    <w:semiHidden/>
    <w:unhideWhenUsed/>
    <w:qFormat/>
    <w:uiPriority w:val="39"/>
    <w:pPr>
      <w:ind w:left="840" w:leftChars="400"/>
    </w:p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Title"/>
    <w:basedOn w:val="1"/>
    <w:next w:val="1"/>
    <w:qFormat/>
    <w:uiPriority w:val="0"/>
    <w:pPr>
      <w:spacing w:before="240" w:after="60"/>
      <w:jc w:val="center"/>
      <w:outlineLvl w:val="0"/>
    </w:pPr>
    <w:rPr>
      <w:rFonts w:ascii="Calibri Light" w:hAnsi="Calibri Light" w:cs="Times New Roman"/>
      <w:b/>
      <w:bCs/>
      <w:sz w:val="32"/>
      <w:szCs w:val="32"/>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color w:val="323232"/>
    </w:rPr>
  </w:style>
  <w:style w:type="character" w:styleId="20">
    <w:name w:val="Hyperlink"/>
    <w:basedOn w:val="18"/>
    <w:semiHidden/>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b/>
      <w:bCs/>
      <w:kern w:val="44"/>
      <w:sz w:val="44"/>
      <w:szCs w:val="44"/>
    </w:rPr>
  </w:style>
  <w:style w:type="character" w:customStyle="1" w:styleId="22">
    <w:name w:val="标题 2 Char"/>
    <w:basedOn w:val="18"/>
    <w:link w:val="5"/>
    <w:qFormat/>
    <w:uiPriority w:val="9"/>
    <w:rPr>
      <w:rFonts w:asciiTheme="majorHAnsi" w:hAnsiTheme="majorHAnsi" w:eastAsiaTheme="majorEastAsia" w:cstheme="majorBidi"/>
      <w:b/>
      <w:bCs/>
      <w:sz w:val="32"/>
      <w:szCs w:val="32"/>
    </w:rPr>
  </w:style>
  <w:style w:type="character" w:customStyle="1" w:styleId="23">
    <w:name w:val="标题 3 Char"/>
    <w:basedOn w:val="18"/>
    <w:link w:val="6"/>
    <w:qFormat/>
    <w:uiPriority w:val="9"/>
    <w:rPr>
      <w:b/>
      <w:bCs/>
      <w:sz w:val="32"/>
      <w:szCs w:val="32"/>
    </w:rPr>
  </w:style>
  <w:style w:type="character" w:customStyle="1" w:styleId="24">
    <w:name w:val="页眉 Char"/>
    <w:basedOn w:val="18"/>
    <w:link w:val="12"/>
    <w:semiHidden/>
    <w:qFormat/>
    <w:uiPriority w:val="99"/>
    <w:rPr>
      <w:sz w:val="18"/>
      <w:szCs w:val="18"/>
    </w:rPr>
  </w:style>
  <w:style w:type="character" w:customStyle="1" w:styleId="25">
    <w:name w:val="页脚 Char"/>
    <w:basedOn w:val="18"/>
    <w:link w:val="11"/>
    <w:qFormat/>
    <w:uiPriority w:val="99"/>
    <w:rPr>
      <w:sz w:val="18"/>
      <w:szCs w:val="18"/>
    </w:rPr>
  </w:style>
  <w:style w:type="character" w:customStyle="1" w:styleId="26">
    <w:name w:val="批注框文本 Char"/>
    <w:basedOn w:val="18"/>
    <w:link w:val="10"/>
    <w:semiHidden/>
    <w:qFormat/>
    <w:uiPriority w:val="99"/>
    <w:rPr>
      <w:sz w:val="18"/>
      <w:szCs w:val="18"/>
    </w:rPr>
  </w:style>
  <w:style w:type="paragraph" w:customStyle="1" w:styleId="27">
    <w:name w:val="CM3"/>
    <w:basedOn w:val="28"/>
    <w:next w:val="28"/>
    <w:qFormat/>
    <w:uiPriority w:val="0"/>
    <w:pPr>
      <w:spacing w:line="580" w:lineRule="atLeast"/>
    </w:pPr>
    <w:rPr>
      <w:rFonts w:hint="eastAsia" w:ascii="Times New Roman" w:hAnsi="Times New Roman" w:eastAsia="宋体" w:cs="Times New Roman"/>
      <w:sz w:val="24"/>
    </w:rPr>
  </w:style>
  <w:style w:type="paragraph" w:customStyle="1" w:styleId="28">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9">
    <w:name w:val="正文文本 Char"/>
    <w:link w:val="8"/>
    <w:qFormat/>
    <w:uiPriority w:val="0"/>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harts/chart4.xml" Type="http://schemas.openxmlformats.org/officeDocument/2006/relationships/chart"/><Relationship Id="rId11" Target="charts/chart5.xml" Type="http://schemas.openxmlformats.org/officeDocument/2006/relationships/chart"/><Relationship Id="rId12" Target="charts/chart6.xml" Type="http://schemas.openxmlformats.org/officeDocument/2006/relationships/chart"/><Relationship Id="rId13" Target="charts/chart7.xml" Type="http://schemas.openxmlformats.org/officeDocument/2006/relationships/chart"/><Relationship Id="rId14" Target="media/image2.jpeg" Type="http://schemas.openxmlformats.org/officeDocument/2006/relationships/image"/><Relationship Id="rId15" Target="../customXml/item1.xml" Type="http://schemas.openxmlformats.org/officeDocument/2006/relationships/customXml"/><Relationship Id="rId16" Target="numbering.xml" Type="http://schemas.openxmlformats.org/officeDocument/2006/relationships/numbering"/><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charts/chart1.xml" Type="http://schemas.openxmlformats.org/officeDocument/2006/relationships/chart"/><Relationship Id="rId8" Target="charts/chart2.xml" Type="http://schemas.openxmlformats.org/officeDocument/2006/relationships/chart"/><Relationship Id="rId9" Target="charts/chart3.xml" Type="http://schemas.openxmlformats.org/officeDocument/2006/relationships/chart"/></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word/charts/_rels/chart1.xml.rels><?xml version="1.0" encoding="UTF-8" standalone="no"?><Relationships xmlns="http://schemas.openxmlformats.org/package/2006/relationships"><Relationship Id="rId1" Target="../embeddings/Workbook2.xlsx" Type="http://schemas.openxmlformats.org/officeDocument/2006/relationships/package"/></Relationships>
</file>

<file path=word/charts/_rels/chart2.xml.rels><?xml version="1.0" encoding="UTF-8" standalone="no"?><Relationships xmlns="http://schemas.openxmlformats.org/package/2006/relationships"><Relationship Id="rId1" Target="" TargetMode="External" Type="http://schemas.openxmlformats.org/officeDocument/2006/relationships/oleObject"/></Relationships>
</file>

<file path=word/charts/_rels/chart3.xml.rels><?xml version="1.0" encoding="UTF-8" standalone="no"?><Relationships xmlns="http://schemas.openxmlformats.org/package/2006/relationships"><Relationship Id="rId1" Target="../embeddings/Workbook1.xlsx" Type="http://schemas.openxmlformats.org/officeDocument/2006/relationships/package"/></Relationships>
</file>

<file path=word/charts/_rels/chart4.xml.rels><?xml version="1.0" encoding="UTF-8" standalone="no"?><Relationships xmlns="http://schemas.openxmlformats.org/package/2006/relationships"><Relationship Id="rId1" Target="../embeddings/Workbook3.xlsx" Type="http://schemas.openxmlformats.org/officeDocument/2006/relationships/package"/></Relationships>
</file>

<file path=word/charts/_rels/chart5.xml.rels><?xml version="1.0" encoding="UTF-8" standalone="no"?><Relationships xmlns="http://schemas.openxmlformats.org/package/2006/relationships"><Relationship Id="rId1" Target="" TargetMode="External" Type="http://schemas.openxmlformats.org/officeDocument/2006/relationships/oleObject"/></Relationships>
</file>

<file path=word/charts/_rels/chart6.xml.rels><?xml version="1.0" encoding="UTF-8" standalone="no"?><Relationships xmlns="http://schemas.openxmlformats.org/package/2006/relationships"><Relationship Id="rId1" Target="" TargetMode="External" Type="http://schemas.openxmlformats.org/officeDocument/2006/relationships/oleObject"/></Relationships>
</file>

<file path=word/charts/_rels/chart7.xml.rels><?xml version="1.0" encoding="UTF-8" standalone="no"?><Relationships xmlns="http://schemas.openxmlformats.org/package/2006/relationships"><Relationship Id="rId1" Target=""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比例</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6.12</c:v>
                </c:pt>
                <c:pt idx="2">
                  <c:v>4.08</c:v>
                </c:pt>
                <c:pt idx="3">
                  <c:v>2.04</c:v>
                </c:pt>
                <c:pt idx="4">
                  <c:v>14.29</c:v>
                </c:pt>
                <c:pt idx="5">
                  <c:v>0</c:v>
                </c:pt>
                <c:pt idx="6">
                  <c:v>12.24</c:v>
                </c:pt>
                <c:pt idx="7">
                  <c:v>32.65</c:v>
                </c:pt>
                <c:pt idx="8">
                  <c:v>0</c:v>
                </c:pt>
                <c:pt idx="9">
                  <c:v>0</c:v>
                </c:pt>
                <c:pt idx="10">
                  <c:v>8.16</c:v>
                </c:pt>
                <c:pt idx="11">
                  <c:v>20.41</c:v>
                </c:pt>
              </c:numCache>
            </c:numRef>
          </c:val>
        </c:ser>
        <c:dLbls>
          <c:showLegendKey val="0"/>
          <c:showVal val="1"/>
          <c:showCatName val="0"/>
          <c:showSerName val="0"/>
          <c:showPercent val="0"/>
          <c:showBubbleSize val="0"/>
        </c:dLbls>
        <c:gapWidth val="219"/>
        <c:overlap val="0"/>
        <c:axId val="856098174"/>
        <c:axId val="288899599"/>
      </c:barChart>
      <c:catAx>
        <c:axId val="85609817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981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27.73</c:v>
                </c:pt>
                <c:pt idx="1">
                  <c:v>64.56</c:v>
                </c:pt>
                <c:pt idx="2">
                  <c:v>6.44</c:v>
                </c:pt>
                <c:pt idx="3">
                  <c:v>1.27</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20.9</c:v>
                </c:pt>
                <c:pt idx="1">
                  <c:v>70.29</c:v>
                </c:pt>
                <c:pt idx="2">
                  <c:v>6.97</c:v>
                </c:pt>
                <c:pt idx="3">
                  <c:v>1.83</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11.74</c:v>
                </c:pt>
                <c:pt idx="1">
                  <c:v>29.69</c:v>
                </c:pt>
                <c:pt idx="2">
                  <c:v>40.51</c:v>
                </c:pt>
                <c:pt idx="3">
                  <c:v>7.94</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11.25</c:v>
                </c:pt>
                <c:pt idx="1">
                  <c:v>25.79</c:v>
                </c:pt>
                <c:pt idx="2">
                  <c:v>39.85</c:v>
                </c:pt>
                <c:pt idx="3">
                  <c:v>10.76</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33.83</c:v>
                </c:pt>
                <c:pt idx="1">
                  <c:v>43.27</c:v>
                </c:pt>
                <c:pt idx="2">
                  <c:v>17.61</c:v>
                </c:pt>
                <c:pt idx="3">
                  <c:v>5.29</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37.29</c:v>
                </c:pt>
                <c:pt idx="1">
                  <c:v>41.44</c:v>
                </c:pt>
                <c:pt idx="2">
                  <c:v>17.48</c:v>
                </c:pt>
                <c:pt idx="3">
                  <c:v>3.79</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比例</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14.82</c:v>
                </c:pt>
                <c:pt idx="1">
                  <c:v>12.51</c:v>
                </c:pt>
                <c:pt idx="2">
                  <c:v>36.14</c:v>
                </c:pt>
                <c:pt idx="3">
                  <c:v>30.08</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教授授课人数比例</c:v>
                </c:pt>
                <c:pt idx="1">
                  <c:v>教授授课门数占比</c:v>
                </c:pt>
              </c:strCache>
            </c:strRef>
          </c:cat>
          <c:val>
            <c:numRef>
              <c:f>Sheet1!$B$2:$B$3</c:f>
              <c:numCache>
                <c:formatCode>General</c:formatCode>
                <c:ptCount val="2"/>
                <c:pt idx="0">
                  <c:v>80.19</c:v>
                </c:pt>
                <c:pt idx="1">
                  <c:v>12.51</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教授授课人数比例</c:v>
                </c:pt>
                <c:pt idx="1">
                  <c:v>教授授课门数占比</c:v>
                </c:pt>
              </c:strCache>
            </c:strRef>
          </c:cat>
          <c:val>
            <c:numRef>
              <c:f>Sheet1!$C$2:$C$3</c:f>
              <c:numCache>
                <c:formatCode>General</c:formatCode>
                <c:ptCount val="2"/>
                <c:pt idx="0">
                  <c:v>88</c:v>
                </c:pt>
                <c:pt idx="1">
                  <c:v>12.34</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2018年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405.7</c:v>
                </c:pt>
                <c:pt idx="1">
                  <c:v>510.21</c:v>
                </c:pt>
                <c:pt idx="2">
                  <c:v>2422.11</c:v>
                </c:pt>
              </c:numCache>
            </c:numRef>
          </c:val>
        </c:ser>
        <c:ser>
          <c:idx val="1"/>
          <c:order val="1"/>
          <c:tx>
            <c:strRef>
              <c:f>Sheet1!$C$1</c:f>
              <c:strCache>
                <c:ptCount val="1"/>
                <c:pt idx="0">
                  <c:v>2019年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333.55</c:v>
                </c:pt>
                <c:pt idx="1">
                  <c:v>577.34</c:v>
                </c:pt>
                <c:pt idx="2">
                  <c:v>2364.99</c:v>
                </c:pt>
              </c:numCache>
            </c:numRef>
          </c:val>
        </c:ser>
        <c:dLbls>
          <c:showLegendKey val="0"/>
          <c:showVal val="1"/>
          <c:showCatName val="0"/>
          <c:showSerName val="0"/>
          <c:showPercent val="0"/>
          <c:showBubbleSize val="0"/>
        </c:dLbls>
        <c:gapWidth val="219"/>
        <c:overlap val="0"/>
        <c:axId val="856098174"/>
        <c:axId val="288899599"/>
      </c:barChart>
      <c:catAx>
        <c:axId val="85609817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981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24945</Words>
  <Characters>27559</Characters>
  <Lines>2</Lines>
  <Paragraphs>1</Paragraphs>
  <TotalTime>2</TotalTime>
  <ScaleCrop>false</ScaleCrop>
  <LinksUpToDate>false</LinksUpToDate>
  <CharactersWithSpaces>27906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2020-09-28T01:50:00Z</dcterms:created>
  <dc:creator>Administrator</dc:creator>
  <cp:lastModifiedBy>Administrator</cp:lastModifiedBy>
  <dcterms:modified xsi:type="dcterms:W3CDTF">2020-12-10T07:02:08Z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